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BA9" w:rsidRPr="008E051B" w:rsidRDefault="00096BA9" w:rsidP="00F40943">
      <w:pPr>
        <w:spacing w:after="0" w:line="360" w:lineRule="auto"/>
        <w:jc w:val="both"/>
        <w:rPr>
          <w:rFonts w:ascii="宋体" w:eastAsia="宋体" w:hAnsi="宋体" w:cs="Arial"/>
          <w:b/>
          <w:sz w:val="24"/>
          <w:szCs w:val="24"/>
          <w:lang w:eastAsia="zh-CN"/>
        </w:rPr>
      </w:pPr>
    </w:p>
    <w:p w:rsidR="003A548C" w:rsidRPr="008E051B" w:rsidRDefault="00F94C79" w:rsidP="00F40943">
      <w:pPr>
        <w:spacing w:after="0" w:line="360" w:lineRule="auto"/>
        <w:jc w:val="center"/>
        <w:rPr>
          <w:rFonts w:ascii="宋体" w:eastAsia="宋体" w:hAnsi="宋体" w:cs="Arial"/>
          <w:b/>
          <w:sz w:val="24"/>
          <w:szCs w:val="24"/>
          <w:lang w:eastAsia="zh-CN"/>
        </w:rPr>
      </w:pPr>
      <w:r w:rsidRPr="008E051B">
        <w:rPr>
          <w:rFonts w:ascii="宋体" w:eastAsia="宋体" w:hAnsi="宋体" w:cs="Arial" w:hint="eastAsia"/>
          <w:b/>
          <w:sz w:val="24"/>
          <w:szCs w:val="24"/>
          <w:lang w:eastAsia="zh-CN"/>
        </w:rPr>
        <w:t>政府会计准则制度解释第1号</w:t>
      </w:r>
    </w:p>
    <w:p w:rsidR="003A548C" w:rsidRPr="008E051B" w:rsidRDefault="003A548C" w:rsidP="00F40943">
      <w:pPr>
        <w:spacing w:after="0" w:line="360" w:lineRule="auto"/>
        <w:jc w:val="center"/>
        <w:rPr>
          <w:rFonts w:ascii="宋体" w:eastAsia="宋体" w:hAnsi="宋体" w:cs="Arial"/>
          <w:sz w:val="24"/>
          <w:szCs w:val="24"/>
          <w:lang w:eastAsia="zh-CN"/>
        </w:rPr>
      </w:pPr>
    </w:p>
    <w:p w:rsidR="003A548C" w:rsidRPr="008E051B" w:rsidRDefault="00F94C79"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一、关于企业集团中的事业单位会计制度执行问题</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企业集团中纳入部门预算编报范围的事业单位（不含执行《军工科研事业单位会计制度》的</w:t>
      </w:r>
      <w:bookmarkStart w:id="0" w:name="_GoBack"/>
      <w:bookmarkEnd w:id="0"/>
      <w:r w:rsidRPr="008E051B">
        <w:rPr>
          <w:rFonts w:ascii="宋体" w:eastAsia="宋体" w:hAnsi="宋体" w:cs="Arial" w:hint="eastAsia"/>
          <w:sz w:val="24"/>
          <w:szCs w:val="24"/>
          <w:lang w:eastAsia="zh-CN"/>
        </w:rPr>
        <w:t>事业单位，下同）应当按照政府会计准则制度进行会计核算；企业集团中未纳入部门预算编报范围的事业单位，可以不执行《政府会计制度——行政事业单位会计科目和报表》（以下称《政府会计制度》）中的预算会计内容，只执行财务会计内容。</w:t>
      </w:r>
    </w:p>
    <w:p w:rsidR="003A548C" w:rsidRPr="008E051B" w:rsidRDefault="00F94C79"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二、关于事业单位长期股权投资</w:t>
      </w:r>
      <w:r w:rsidR="00BA01BA" w:rsidRPr="008E051B">
        <w:rPr>
          <w:rFonts w:ascii="宋体" w:eastAsia="宋体" w:hAnsi="宋体" w:cs="Arial" w:hint="eastAsia"/>
          <w:b/>
          <w:sz w:val="24"/>
          <w:szCs w:val="24"/>
          <w:lang w:eastAsia="zh-CN"/>
        </w:rPr>
        <w:t>的</w:t>
      </w:r>
      <w:r w:rsidRPr="008E051B">
        <w:rPr>
          <w:rFonts w:ascii="宋体" w:eastAsia="宋体" w:hAnsi="宋体" w:cs="Arial" w:hint="eastAsia"/>
          <w:b/>
          <w:sz w:val="24"/>
          <w:szCs w:val="24"/>
          <w:lang w:eastAsia="zh-CN"/>
        </w:rPr>
        <w:t>会计处理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一）事业单位采用权益法核算长期股权投资、且被投资单位编制合并财务报表的，在持有投资期间，应当以被投资单位合并财务报表中归属于母公司的净利润和其他所有者权益变动为基础，计算确定应当调整长期股权投资账面余额的金额，并进行相关会计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（二)事业单位以其持有的科技成果取得的长期股权投资，应当按照评估价值加相关税费作为投资成本。</w:t>
      </w:r>
      <w:r w:rsidR="00D05702" w:rsidRPr="008E051B">
        <w:rPr>
          <w:rFonts w:ascii="宋体" w:eastAsia="宋体" w:hAnsi="宋体" w:cs="Arial" w:hint="eastAsia"/>
          <w:sz w:val="24"/>
          <w:szCs w:val="24"/>
          <w:lang w:eastAsia="zh-CN"/>
        </w:rPr>
        <w:t>事业</w:t>
      </w:r>
      <w:r w:rsidRPr="008E051B">
        <w:rPr>
          <w:rFonts w:ascii="宋体" w:eastAsia="宋体" w:hAnsi="宋体" w:cs="Arial" w:hint="eastAsia"/>
          <w:sz w:val="24"/>
          <w:szCs w:val="24"/>
          <w:lang w:eastAsia="zh-CN"/>
        </w:rPr>
        <w:t>单位按规定通过协议定价、在技术交易市场挂牌交易、拍卖等方式确定价格的，应当按照以上方式确定的价格加相关税费作为投资成本。</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三）事业单位处置以科技成果转化形成的长期股权投资，按规定所取得的收入全部留归本单位的，应当按照实际取得的价款，借记“银行存款”等科目，按照被处置长期股权投资的账面余额，贷记“长期股权投资”科目，按照尚未领取的现金股利或利润，贷记“应收股利”科目，按照发生的相关税费等支出，贷记“银行存款”等科目，按照借贷方差额，借记或贷记“投资收益”科目；同时，在预算会计中，按照实际取得的价款，借记“资金结存——货币资金”科目，按照处置时确认的投资收益金额，贷记“投资预算收益”科目，按照贷方差额，贷记“其他预算收入”科目。</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（四）权益法下，事业单位处置以现金以外的其他资产取得的（不含科技成果转化形成的）长期股权投资时，按规定将取得的投资收益</w:t>
      </w:r>
      <w:r w:rsidR="00BA01BA" w:rsidRPr="008E051B">
        <w:rPr>
          <w:rFonts w:ascii="宋体" w:eastAsia="宋体" w:hAnsi="宋体" w:cs="Arial" w:hint="eastAsia"/>
          <w:sz w:val="24"/>
          <w:szCs w:val="24"/>
          <w:lang w:eastAsia="zh-CN"/>
        </w:rPr>
        <w:t>（</w:t>
      </w:r>
      <w:r w:rsidR="00FD07D9" w:rsidRPr="008E051B">
        <w:rPr>
          <w:rFonts w:ascii="宋体" w:eastAsia="宋体" w:hAnsi="宋体" w:cs="Arial" w:hint="eastAsia"/>
          <w:sz w:val="24"/>
          <w:szCs w:val="24"/>
          <w:lang w:eastAsia="zh-CN"/>
        </w:rPr>
        <w:t>此处的投资收益，</w:t>
      </w:r>
      <w:r w:rsidR="00FD07D9" w:rsidRPr="008E051B">
        <w:rPr>
          <w:rFonts w:ascii="宋体" w:eastAsia="宋体" w:hAnsi="宋体" w:cs="Arial" w:hint="eastAsia"/>
          <w:sz w:val="24"/>
          <w:szCs w:val="24"/>
          <w:lang w:eastAsia="zh-CN"/>
        </w:rPr>
        <w:lastRenderedPageBreak/>
        <w:t>是指</w:t>
      </w:r>
      <w:r w:rsidR="00BA01BA" w:rsidRPr="008E051B">
        <w:rPr>
          <w:rFonts w:ascii="宋体" w:eastAsia="宋体" w:hAnsi="宋体" w:cs="Arial" w:hint="eastAsia"/>
          <w:sz w:val="24"/>
          <w:szCs w:val="24"/>
          <w:lang w:eastAsia="zh-CN"/>
        </w:rPr>
        <w:t>长期股权投资处置价款扣除长期股权投资成本和相关税费后的差额）</w:t>
      </w:r>
      <w:r w:rsidRPr="008E051B">
        <w:rPr>
          <w:rFonts w:ascii="宋体" w:eastAsia="宋体" w:hAnsi="宋体" w:cs="Arial" w:hint="eastAsia"/>
          <w:sz w:val="24"/>
          <w:szCs w:val="24"/>
          <w:lang w:eastAsia="zh-CN"/>
        </w:rPr>
        <w:t>纳入本单位预算管理的，分别以下两种情况处理：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1.长期股权投资的账面余额大于其投资成本的，应当按照被处置长期股权投资的成本，借记“资产处置费用”科目，贷记“长期股权投资——成本”科目；同时，按照实际取得的价款，借记“银行存款”等科目，按照尚未领取的现金股利或利润，贷记“应收股利”科目，按照发生的相关税费等支出，贷记“银行存款”等科目，</w:t>
      </w:r>
      <w:proofErr w:type="gramStart"/>
      <w:r w:rsidRPr="008E051B">
        <w:rPr>
          <w:rFonts w:ascii="宋体" w:eastAsia="宋体" w:hAnsi="宋体" w:cs="Arial" w:hint="eastAsia"/>
          <w:sz w:val="24"/>
          <w:szCs w:val="24"/>
          <w:lang w:eastAsia="zh-CN"/>
        </w:rPr>
        <w:t>按照长期</w:t>
      </w:r>
      <w:proofErr w:type="gramEnd"/>
      <w:r w:rsidRPr="008E051B">
        <w:rPr>
          <w:rFonts w:ascii="宋体" w:eastAsia="宋体" w:hAnsi="宋体" w:cs="Arial" w:hint="eastAsia"/>
          <w:sz w:val="24"/>
          <w:szCs w:val="24"/>
          <w:lang w:eastAsia="zh-CN"/>
        </w:rPr>
        <w:t>股权投资的账面余额减去其投资成本的差额，贷记“长期股权投资——损益调整、其他权益变动”科目（以上明细科目为贷方余额的，借</w:t>
      </w:r>
      <w:proofErr w:type="gramStart"/>
      <w:r w:rsidRPr="008E051B">
        <w:rPr>
          <w:rFonts w:ascii="宋体" w:eastAsia="宋体" w:hAnsi="宋体" w:cs="Arial" w:hint="eastAsia"/>
          <w:sz w:val="24"/>
          <w:szCs w:val="24"/>
          <w:lang w:eastAsia="zh-CN"/>
        </w:rPr>
        <w:t>记相关</w:t>
      </w:r>
      <w:proofErr w:type="gramEnd"/>
      <w:r w:rsidRPr="008E051B">
        <w:rPr>
          <w:rFonts w:ascii="宋体" w:eastAsia="宋体" w:hAnsi="宋体" w:cs="Arial" w:hint="eastAsia"/>
          <w:sz w:val="24"/>
          <w:szCs w:val="24"/>
          <w:lang w:eastAsia="zh-CN"/>
        </w:rPr>
        <w:t>明细科目），按照实际取得的价款</w:t>
      </w:r>
      <w:r w:rsidR="006C53C8" w:rsidRPr="008E051B">
        <w:rPr>
          <w:rFonts w:ascii="宋体" w:eastAsia="宋体" w:hAnsi="宋体" w:cs="Arial" w:hint="eastAsia"/>
          <w:sz w:val="24"/>
          <w:szCs w:val="24"/>
          <w:lang w:eastAsia="zh-CN"/>
        </w:rPr>
        <w:t>与</w:t>
      </w:r>
      <w:r w:rsidR="00097A0A" w:rsidRPr="008E051B">
        <w:rPr>
          <w:rFonts w:ascii="宋体" w:eastAsia="宋体" w:hAnsi="宋体" w:cs="Arial" w:hint="eastAsia"/>
          <w:sz w:val="24"/>
          <w:szCs w:val="24"/>
          <w:lang w:eastAsia="zh-CN"/>
        </w:rPr>
        <w:t>被处置</w:t>
      </w:r>
      <w:r w:rsidRPr="008E051B">
        <w:rPr>
          <w:rFonts w:ascii="宋体" w:eastAsia="宋体" w:hAnsi="宋体" w:cs="Arial" w:hint="eastAsia"/>
          <w:sz w:val="24"/>
          <w:szCs w:val="24"/>
          <w:lang w:eastAsia="zh-CN"/>
        </w:rPr>
        <w:t>长期股权投资账面余额</w:t>
      </w:r>
      <w:r w:rsidR="00097A0A" w:rsidRPr="008E051B">
        <w:rPr>
          <w:rFonts w:ascii="宋体" w:eastAsia="宋体" w:hAnsi="宋体" w:cs="Arial" w:hint="eastAsia"/>
          <w:sz w:val="24"/>
          <w:szCs w:val="24"/>
          <w:lang w:eastAsia="zh-CN"/>
        </w:rPr>
        <w:t>、应收股利账面余额和相关税费支出合计</w:t>
      </w:r>
      <w:r w:rsidR="006C53C8" w:rsidRPr="008E051B">
        <w:rPr>
          <w:rFonts w:ascii="宋体" w:eastAsia="宋体" w:hAnsi="宋体" w:cs="Arial" w:hint="eastAsia"/>
          <w:sz w:val="24"/>
          <w:szCs w:val="24"/>
          <w:lang w:eastAsia="zh-CN"/>
        </w:rPr>
        <w:t>数</w:t>
      </w:r>
      <w:r w:rsidRPr="008E051B">
        <w:rPr>
          <w:rFonts w:ascii="宋体" w:eastAsia="宋体" w:hAnsi="宋体" w:cs="Arial" w:hint="eastAsia"/>
          <w:sz w:val="24"/>
          <w:szCs w:val="24"/>
          <w:lang w:eastAsia="zh-CN"/>
        </w:rPr>
        <w:t>的差额，贷记或借记“投资收益”科目，按照贷方差额，贷记“应缴财政款”科目。预算会计的账务处理按照《政府会计制度》进行。</w:t>
      </w:r>
    </w:p>
    <w:p w:rsidR="003A548C" w:rsidRPr="008E051B" w:rsidRDefault="00C84E18"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这种情况下的会计分录</w:t>
      </w:r>
      <w:r w:rsidR="00F94C79" w:rsidRPr="008E051B">
        <w:rPr>
          <w:rFonts w:ascii="宋体" w:eastAsia="宋体" w:hAnsi="宋体" w:cs="Arial" w:hint="eastAsia"/>
          <w:sz w:val="24"/>
          <w:szCs w:val="24"/>
          <w:lang w:eastAsia="zh-CN"/>
        </w:rPr>
        <w:t>举例如下：</w:t>
      </w:r>
    </w:p>
    <w:tbl>
      <w:tblPr>
        <w:tblStyle w:val="af1"/>
        <w:tblW w:w="8522" w:type="dxa"/>
        <w:tblLayout w:type="fixed"/>
        <w:tblLook w:val="04A0"/>
      </w:tblPr>
      <w:tblGrid>
        <w:gridCol w:w="4261"/>
        <w:gridCol w:w="4261"/>
      </w:tblGrid>
      <w:tr w:rsidR="003A548C" w:rsidRPr="008E051B">
        <w:tc>
          <w:tcPr>
            <w:tcW w:w="4261" w:type="dxa"/>
          </w:tcPr>
          <w:p w:rsidR="003A548C" w:rsidRPr="008E051B" w:rsidRDefault="00F94C79" w:rsidP="00F40943">
            <w:pPr>
              <w:spacing w:after="0" w:line="360" w:lineRule="auto"/>
              <w:jc w:val="center"/>
              <w:rPr>
                <w:rFonts w:ascii="宋体" w:eastAsia="宋体" w:hAnsi="宋体" w:cs="Arial"/>
                <w:sz w:val="24"/>
                <w:szCs w:val="24"/>
                <w:lang w:eastAsia="zh-CN"/>
              </w:rPr>
            </w:pPr>
            <w:r w:rsidRPr="008E051B">
              <w:rPr>
                <w:rFonts w:ascii="宋体" w:eastAsia="宋体" w:hAnsi="宋体" w:cs="Arial" w:hint="eastAsia"/>
                <w:sz w:val="24"/>
                <w:szCs w:val="24"/>
                <w:lang w:eastAsia="zh-CN"/>
              </w:rPr>
              <w:t>财务会计</w:t>
            </w:r>
          </w:p>
        </w:tc>
        <w:tc>
          <w:tcPr>
            <w:tcW w:w="4261" w:type="dxa"/>
          </w:tcPr>
          <w:p w:rsidR="003A548C" w:rsidRPr="008E051B" w:rsidRDefault="00F94C79" w:rsidP="00F40943">
            <w:pPr>
              <w:spacing w:after="0" w:line="360" w:lineRule="auto"/>
              <w:jc w:val="center"/>
              <w:rPr>
                <w:rFonts w:ascii="宋体" w:eastAsia="宋体" w:hAnsi="宋体" w:cs="Arial"/>
                <w:sz w:val="24"/>
                <w:szCs w:val="24"/>
                <w:lang w:eastAsia="zh-CN"/>
              </w:rPr>
            </w:pPr>
            <w:r w:rsidRPr="008E051B">
              <w:rPr>
                <w:rFonts w:ascii="宋体" w:eastAsia="宋体" w:hAnsi="宋体" w:cs="Arial" w:hint="eastAsia"/>
                <w:sz w:val="24"/>
                <w:szCs w:val="24"/>
                <w:lang w:eastAsia="zh-CN"/>
              </w:rPr>
              <w:t>预算会计</w:t>
            </w:r>
          </w:p>
        </w:tc>
      </w:tr>
      <w:tr w:rsidR="003A548C" w:rsidRPr="008E051B">
        <w:tc>
          <w:tcPr>
            <w:tcW w:w="4261" w:type="dxa"/>
          </w:tcPr>
          <w:p w:rsidR="003A548C" w:rsidRPr="008E051B" w:rsidRDefault="00F94C79" w:rsidP="00F40943">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借：资产处置费用</w:t>
            </w:r>
          </w:p>
          <w:p w:rsidR="003A548C" w:rsidRPr="008E051B" w:rsidRDefault="00F94C79" w:rsidP="00F40943">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贷：长期股权投资——成本</w:t>
            </w:r>
          </w:p>
          <w:p w:rsidR="003A548C" w:rsidRPr="008E051B" w:rsidRDefault="00F94C79" w:rsidP="00F40943">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借：银行存款</w:t>
            </w:r>
          </w:p>
          <w:p w:rsidR="003A548C" w:rsidRPr="008E051B" w:rsidRDefault="00F94C79" w:rsidP="00F40943">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贷：应收股利（如有）</w:t>
            </w:r>
          </w:p>
          <w:p w:rsidR="003A548C" w:rsidRPr="008E051B" w:rsidRDefault="00F94C79" w:rsidP="00F40943">
            <w:pPr>
              <w:spacing w:after="0" w:line="360" w:lineRule="auto"/>
              <w:ind w:firstLineChars="400" w:firstLine="96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长期股权投资——损益调整、其他权益变动（也可能在借方）</w:t>
            </w:r>
          </w:p>
          <w:p w:rsidR="003A548C" w:rsidRPr="008E051B" w:rsidRDefault="00F94C79" w:rsidP="00F40943">
            <w:pPr>
              <w:spacing w:after="0" w:line="360" w:lineRule="auto"/>
              <w:ind w:firstLineChars="400" w:firstLine="96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银行存款（相关税费）</w:t>
            </w:r>
          </w:p>
          <w:p w:rsidR="003A548C" w:rsidRPr="008E051B" w:rsidRDefault="00F94C79" w:rsidP="00F40943">
            <w:pPr>
              <w:spacing w:after="0" w:line="360" w:lineRule="auto"/>
              <w:ind w:firstLineChars="400" w:firstLine="96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投资收益（</w:t>
            </w:r>
            <w:r w:rsidR="00B91FED" w:rsidRPr="008E051B">
              <w:rPr>
                <w:rFonts w:ascii="宋体" w:eastAsia="宋体" w:hAnsi="宋体" w:cs="Arial" w:hint="eastAsia"/>
                <w:sz w:val="24"/>
                <w:szCs w:val="24"/>
                <w:lang w:eastAsia="zh-CN"/>
              </w:rPr>
              <w:t>取得</w:t>
            </w:r>
            <w:r w:rsidRPr="008E051B">
              <w:rPr>
                <w:rFonts w:ascii="宋体" w:eastAsia="宋体" w:hAnsi="宋体" w:cs="Arial" w:hint="eastAsia"/>
                <w:sz w:val="24"/>
                <w:szCs w:val="24"/>
                <w:lang w:eastAsia="zh-CN"/>
              </w:rPr>
              <w:t>价款</w:t>
            </w:r>
            <w:r w:rsidR="006C53C8" w:rsidRPr="008E051B">
              <w:rPr>
                <w:rFonts w:ascii="宋体" w:eastAsia="宋体" w:hAnsi="宋体" w:cs="Arial" w:hint="eastAsia"/>
                <w:sz w:val="24"/>
                <w:szCs w:val="24"/>
                <w:lang w:eastAsia="zh-CN"/>
              </w:rPr>
              <w:t>与</w:t>
            </w:r>
            <w:r w:rsidRPr="008E051B">
              <w:rPr>
                <w:rFonts w:ascii="宋体" w:eastAsia="宋体" w:hAnsi="宋体" w:cs="Arial" w:hint="eastAsia"/>
                <w:sz w:val="24"/>
                <w:szCs w:val="24"/>
                <w:lang w:eastAsia="zh-CN"/>
              </w:rPr>
              <w:t>投资账面余额</w:t>
            </w:r>
            <w:r w:rsidR="00097A0A" w:rsidRPr="008E051B">
              <w:rPr>
                <w:rFonts w:ascii="宋体" w:eastAsia="宋体" w:hAnsi="宋体" w:cs="Arial" w:hint="eastAsia"/>
                <w:sz w:val="24"/>
                <w:szCs w:val="24"/>
                <w:lang w:eastAsia="zh-CN"/>
              </w:rPr>
              <w:t>、应收股利账面余额和相关税费支出合计</w:t>
            </w:r>
            <w:r w:rsidR="006C53C8" w:rsidRPr="008E051B">
              <w:rPr>
                <w:rFonts w:ascii="宋体" w:eastAsia="宋体" w:hAnsi="宋体" w:cs="Arial" w:hint="eastAsia"/>
                <w:sz w:val="24"/>
                <w:szCs w:val="24"/>
                <w:lang w:eastAsia="zh-CN"/>
              </w:rPr>
              <w:t>数</w:t>
            </w:r>
            <w:r w:rsidRPr="008E051B">
              <w:rPr>
                <w:rFonts w:ascii="宋体" w:eastAsia="宋体" w:hAnsi="宋体" w:cs="Arial" w:hint="eastAsia"/>
                <w:sz w:val="24"/>
                <w:szCs w:val="24"/>
                <w:lang w:eastAsia="zh-CN"/>
              </w:rPr>
              <w:t>的差额</w:t>
            </w:r>
            <w:r w:rsidR="00B91FED" w:rsidRPr="008E051B">
              <w:rPr>
                <w:rFonts w:ascii="宋体" w:eastAsia="宋体" w:hAnsi="宋体" w:cs="Arial" w:hint="eastAsia"/>
                <w:sz w:val="24"/>
                <w:szCs w:val="24"/>
                <w:lang w:eastAsia="zh-CN"/>
              </w:rPr>
              <w:t>）</w:t>
            </w:r>
          </w:p>
          <w:p w:rsidR="003A548C" w:rsidRPr="008E051B" w:rsidRDefault="00F94C79" w:rsidP="00F40943">
            <w:pPr>
              <w:spacing w:after="0" w:line="360" w:lineRule="auto"/>
              <w:ind w:firstLineChars="400" w:firstLine="96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 xml:space="preserve">应缴财政款    </w:t>
            </w:r>
          </w:p>
        </w:tc>
        <w:tc>
          <w:tcPr>
            <w:tcW w:w="4261" w:type="dxa"/>
          </w:tcPr>
          <w:p w:rsidR="003A548C" w:rsidRPr="008E051B" w:rsidRDefault="003A548C" w:rsidP="00F40943">
            <w:pPr>
              <w:spacing w:after="0" w:line="360" w:lineRule="auto"/>
              <w:jc w:val="both"/>
              <w:rPr>
                <w:rFonts w:ascii="宋体" w:eastAsia="宋体" w:hAnsi="宋体" w:cs="Arial"/>
                <w:sz w:val="24"/>
                <w:szCs w:val="24"/>
                <w:lang w:eastAsia="zh-CN"/>
              </w:rPr>
            </w:pPr>
          </w:p>
          <w:p w:rsidR="003A548C" w:rsidRPr="008E051B" w:rsidRDefault="003A548C" w:rsidP="00F40943">
            <w:pPr>
              <w:spacing w:after="0" w:line="360" w:lineRule="auto"/>
              <w:jc w:val="both"/>
              <w:rPr>
                <w:rFonts w:ascii="宋体" w:eastAsia="宋体" w:hAnsi="宋体" w:cs="Arial"/>
                <w:sz w:val="24"/>
                <w:szCs w:val="24"/>
                <w:lang w:eastAsia="zh-CN"/>
              </w:rPr>
            </w:pPr>
          </w:p>
          <w:p w:rsidR="003A548C" w:rsidRPr="008E051B" w:rsidRDefault="00F94C79" w:rsidP="00F40943">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借：资金结存——货币资金</w:t>
            </w:r>
          </w:p>
          <w:p w:rsidR="003A548C" w:rsidRPr="008E051B" w:rsidRDefault="00F94C79" w:rsidP="00B91FED">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 xml:space="preserve">    贷：投资预算收益（</w:t>
            </w:r>
            <w:r w:rsidR="00B91FED" w:rsidRPr="008E051B">
              <w:rPr>
                <w:rFonts w:ascii="宋体" w:eastAsia="宋体" w:hAnsi="宋体" w:cs="Arial" w:hint="eastAsia"/>
                <w:sz w:val="24"/>
                <w:szCs w:val="24"/>
                <w:lang w:eastAsia="zh-CN"/>
              </w:rPr>
              <w:t>取得</w:t>
            </w:r>
            <w:r w:rsidRPr="008E051B">
              <w:rPr>
                <w:rFonts w:ascii="宋体" w:eastAsia="宋体" w:hAnsi="宋体" w:cs="Arial" w:hint="eastAsia"/>
                <w:sz w:val="24"/>
                <w:szCs w:val="24"/>
                <w:lang w:eastAsia="zh-CN"/>
              </w:rPr>
              <w:t>价款减去投资成本和相关税费后的金额）</w:t>
            </w:r>
          </w:p>
        </w:tc>
      </w:tr>
    </w:tbl>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2.长期股权投资的账面余额小于或等于其投资成本的，应当按照被处置长期股权投资的账面余额，借记“资产处置费用”科目，</w:t>
      </w:r>
      <w:proofErr w:type="gramStart"/>
      <w:r w:rsidRPr="008E051B">
        <w:rPr>
          <w:rFonts w:ascii="宋体" w:eastAsia="宋体" w:hAnsi="宋体" w:cs="Arial" w:hint="eastAsia"/>
          <w:sz w:val="24"/>
          <w:szCs w:val="24"/>
          <w:lang w:eastAsia="zh-CN"/>
        </w:rPr>
        <w:t>按照长期</w:t>
      </w:r>
      <w:proofErr w:type="gramEnd"/>
      <w:r w:rsidRPr="008E051B">
        <w:rPr>
          <w:rFonts w:ascii="宋体" w:eastAsia="宋体" w:hAnsi="宋体" w:cs="Arial" w:hint="eastAsia"/>
          <w:sz w:val="24"/>
          <w:szCs w:val="24"/>
          <w:lang w:eastAsia="zh-CN"/>
        </w:rPr>
        <w:t>股权投资各明细科目的余额，贷记“长期股权投资——成本”科目，贷记或借记“长期股权投资——损益调整、其他权益变动”科目；同时，按照实际取得的价款，借记“银行存</w:t>
      </w:r>
      <w:r w:rsidRPr="008E051B">
        <w:rPr>
          <w:rFonts w:ascii="宋体" w:eastAsia="宋体" w:hAnsi="宋体" w:cs="Arial" w:hint="eastAsia"/>
          <w:sz w:val="24"/>
          <w:szCs w:val="24"/>
          <w:lang w:eastAsia="zh-CN"/>
        </w:rPr>
        <w:lastRenderedPageBreak/>
        <w:t>款”等科目，按照尚未领取的现金股利或利润，贷记“应收股利”科目，按照发生的相关税费等支出，贷记“银行存款”等科目，按照实际取得的价款大于</w:t>
      </w:r>
      <w:r w:rsidR="001469E5" w:rsidRPr="008E051B">
        <w:rPr>
          <w:rFonts w:ascii="宋体" w:eastAsia="宋体" w:hAnsi="宋体" w:cs="Arial" w:hint="eastAsia"/>
          <w:sz w:val="24"/>
          <w:szCs w:val="24"/>
          <w:lang w:eastAsia="zh-CN"/>
        </w:rPr>
        <w:t>被处置</w:t>
      </w:r>
      <w:r w:rsidRPr="008E051B">
        <w:rPr>
          <w:rFonts w:ascii="宋体" w:eastAsia="宋体" w:hAnsi="宋体" w:cs="Arial" w:hint="eastAsia"/>
          <w:sz w:val="24"/>
          <w:szCs w:val="24"/>
          <w:lang w:eastAsia="zh-CN"/>
        </w:rPr>
        <w:t>长期股权投资成本</w:t>
      </w:r>
      <w:r w:rsidR="001469E5" w:rsidRPr="008E051B">
        <w:rPr>
          <w:rFonts w:ascii="宋体" w:eastAsia="宋体" w:hAnsi="宋体" w:cs="Arial" w:hint="eastAsia"/>
          <w:sz w:val="24"/>
          <w:szCs w:val="24"/>
          <w:lang w:eastAsia="zh-CN"/>
        </w:rPr>
        <w:t>、应收股利账面余额和相关税费支出合计</w:t>
      </w:r>
      <w:r w:rsidR="007C53CF" w:rsidRPr="008E051B">
        <w:rPr>
          <w:rFonts w:ascii="宋体" w:eastAsia="宋体" w:hAnsi="宋体" w:cs="Arial" w:hint="eastAsia"/>
          <w:sz w:val="24"/>
          <w:szCs w:val="24"/>
          <w:lang w:eastAsia="zh-CN"/>
        </w:rPr>
        <w:t>数</w:t>
      </w:r>
      <w:r w:rsidRPr="008E051B">
        <w:rPr>
          <w:rFonts w:ascii="宋体" w:eastAsia="宋体" w:hAnsi="宋体" w:cs="Arial" w:hint="eastAsia"/>
          <w:sz w:val="24"/>
          <w:szCs w:val="24"/>
          <w:lang w:eastAsia="zh-CN"/>
        </w:rPr>
        <w:t>的差额，贷记“投资收益”科目，按照贷方差额，贷记“应缴财政款”科目。预算会计的账务处理按照《政府会计制度》进行。</w:t>
      </w:r>
    </w:p>
    <w:p w:rsidR="003A548C" w:rsidRPr="008E051B" w:rsidRDefault="00C84E18"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这种情况下的会计分录举例如下：</w:t>
      </w:r>
    </w:p>
    <w:tbl>
      <w:tblPr>
        <w:tblStyle w:val="af1"/>
        <w:tblW w:w="8522" w:type="dxa"/>
        <w:tblLayout w:type="fixed"/>
        <w:tblLook w:val="04A0"/>
      </w:tblPr>
      <w:tblGrid>
        <w:gridCol w:w="4588"/>
        <w:gridCol w:w="3934"/>
      </w:tblGrid>
      <w:tr w:rsidR="003A548C" w:rsidRPr="008E051B">
        <w:tc>
          <w:tcPr>
            <w:tcW w:w="4588" w:type="dxa"/>
          </w:tcPr>
          <w:p w:rsidR="003A548C" w:rsidRPr="008E051B" w:rsidRDefault="00F94C79" w:rsidP="00F40943">
            <w:pPr>
              <w:spacing w:after="0" w:line="360" w:lineRule="auto"/>
              <w:jc w:val="center"/>
              <w:rPr>
                <w:rFonts w:ascii="宋体" w:eastAsia="宋体" w:hAnsi="宋体" w:cs="Arial"/>
                <w:sz w:val="24"/>
                <w:szCs w:val="24"/>
                <w:lang w:eastAsia="zh-CN"/>
              </w:rPr>
            </w:pPr>
            <w:r w:rsidRPr="008E051B">
              <w:rPr>
                <w:rFonts w:ascii="宋体" w:eastAsia="宋体" w:hAnsi="宋体" w:cs="Arial" w:hint="eastAsia"/>
                <w:sz w:val="24"/>
                <w:szCs w:val="24"/>
                <w:lang w:eastAsia="zh-CN"/>
              </w:rPr>
              <w:t>财务会计</w:t>
            </w:r>
          </w:p>
        </w:tc>
        <w:tc>
          <w:tcPr>
            <w:tcW w:w="3934" w:type="dxa"/>
          </w:tcPr>
          <w:p w:rsidR="003A548C" w:rsidRPr="008E051B" w:rsidRDefault="00F94C79" w:rsidP="00F40943">
            <w:pPr>
              <w:spacing w:after="0" w:line="360" w:lineRule="auto"/>
              <w:jc w:val="center"/>
              <w:rPr>
                <w:rFonts w:ascii="宋体" w:eastAsia="宋体" w:hAnsi="宋体" w:cs="Arial"/>
                <w:sz w:val="24"/>
                <w:szCs w:val="24"/>
                <w:lang w:eastAsia="zh-CN"/>
              </w:rPr>
            </w:pPr>
            <w:r w:rsidRPr="008E051B">
              <w:rPr>
                <w:rFonts w:ascii="宋体" w:eastAsia="宋体" w:hAnsi="宋体" w:cs="Arial" w:hint="eastAsia"/>
                <w:sz w:val="24"/>
                <w:szCs w:val="24"/>
                <w:lang w:eastAsia="zh-CN"/>
              </w:rPr>
              <w:t>预算会计</w:t>
            </w:r>
          </w:p>
        </w:tc>
      </w:tr>
      <w:tr w:rsidR="003A548C" w:rsidRPr="008E051B" w:rsidTr="001469E5">
        <w:trPr>
          <w:trHeight w:val="416"/>
        </w:trPr>
        <w:tc>
          <w:tcPr>
            <w:tcW w:w="4588" w:type="dxa"/>
          </w:tcPr>
          <w:p w:rsidR="003A548C" w:rsidRPr="008E051B" w:rsidRDefault="00F94C79" w:rsidP="00F40943">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借：资产处置费用（投资账面余额）</w:t>
            </w:r>
          </w:p>
          <w:p w:rsidR="003A548C" w:rsidRPr="008E051B" w:rsidRDefault="00F94C79" w:rsidP="00F40943">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长期股权投资——损益调整、其他权益变动（部分明细科目余额也可能在贷方）</w:t>
            </w:r>
          </w:p>
          <w:p w:rsidR="003A548C" w:rsidRPr="008E051B" w:rsidRDefault="00F94C79" w:rsidP="00F40943">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贷：长期股权投资——成本</w:t>
            </w:r>
          </w:p>
          <w:p w:rsidR="003A548C" w:rsidRPr="008E051B" w:rsidRDefault="00F94C79" w:rsidP="00F40943">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借：银行存款</w:t>
            </w:r>
          </w:p>
          <w:p w:rsidR="003A548C" w:rsidRPr="008E051B" w:rsidRDefault="00F94C79" w:rsidP="00F40943">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贷：应收股利（如有）</w:t>
            </w:r>
          </w:p>
          <w:p w:rsidR="003A548C" w:rsidRPr="008E051B" w:rsidRDefault="00F94C79" w:rsidP="00F40943">
            <w:pPr>
              <w:spacing w:after="0" w:line="360" w:lineRule="auto"/>
              <w:ind w:firstLineChars="400" w:firstLine="96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银行存款（相关税费）</w:t>
            </w:r>
          </w:p>
          <w:p w:rsidR="003A548C" w:rsidRPr="008E051B" w:rsidRDefault="00F94C79" w:rsidP="00F40943">
            <w:pPr>
              <w:spacing w:after="0" w:line="360" w:lineRule="auto"/>
              <w:ind w:firstLineChars="400" w:firstLine="96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投资收益（</w:t>
            </w:r>
            <w:r w:rsidR="00B91FED" w:rsidRPr="008E051B">
              <w:rPr>
                <w:rFonts w:ascii="宋体" w:eastAsia="宋体" w:hAnsi="宋体" w:cs="Arial" w:hint="eastAsia"/>
                <w:sz w:val="24"/>
                <w:szCs w:val="24"/>
                <w:lang w:eastAsia="zh-CN"/>
              </w:rPr>
              <w:t>取得</w:t>
            </w:r>
            <w:r w:rsidRPr="008E051B">
              <w:rPr>
                <w:rFonts w:ascii="宋体" w:eastAsia="宋体" w:hAnsi="宋体" w:cs="Arial" w:hint="eastAsia"/>
                <w:sz w:val="24"/>
                <w:szCs w:val="24"/>
                <w:lang w:eastAsia="zh-CN"/>
              </w:rPr>
              <w:t>价款大于投资成本</w:t>
            </w:r>
            <w:r w:rsidR="00097A0A" w:rsidRPr="008E051B">
              <w:rPr>
                <w:rFonts w:ascii="宋体" w:eastAsia="宋体" w:hAnsi="宋体" w:cs="Arial" w:hint="eastAsia"/>
                <w:sz w:val="24"/>
                <w:szCs w:val="24"/>
                <w:lang w:eastAsia="zh-CN"/>
              </w:rPr>
              <w:t>、应收股利账面余额和相关税费支出合计</w:t>
            </w:r>
            <w:r w:rsidR="007C53CF" w:rsidRPr="008E051B">
              <w:rPr>
                <w:rFonts w:ascii="宋体" w:eastAsia="宋体" w:hAnsi="宋体" w:cs="Arial" w:hint="eastAsia"/>
                <w:sz w:val="24"/>
                <w:szCs w:val="24"/>
                <w:lang w:eastAsia="zh-CN"/>
              </w:rPr>
              <w:t>数</w:t>
            </w:r>
            <w:r w:rsidRPr="008E051B">
              <w:rPr>
                <w:rFonts w:ascii="宋体" w:eastAsia="宋体" w:hAnsi="宋体" w:cs="Arial" w:hint="eastAsia"/>
                <w:sz w:val="24"/>
                <w:szCs w:val="24"/>
                <w:lang w:eastAsia="zh-CN"/>
              </w:rPr>
              <w:t>的差额）</w:t>
            </w:r>
          </w:p>
          <w:p w:rsidR="003A548C" w:rsidRPr="008E051B" w:rsidRDefault="00F94C79" w:rsidP="00F40943">
            <w:pPr>
              <w:spacing w:after="0" w:line="360" w:lineRule="auto"/>
              <w:ind w:firstLineChars="400" w:firstLine="96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应缴财政款</w:t>
            </w:r>
          </w:p>
        </w:tc>
        <w:tc>
          <w:tcPr>
            <w:tcW w:w="3934" w:type="dxa"/>
          </w:tcPr>
          <w:p w:rsidR="003A548C" w:rsidRPr="008E051B" w:rsidRDefault="003A548C" w:rsidP="00F40943">
            <w:pPr>
              <w:spacing w:after="0" w:line="360" w:lineRule="auto"/>
              <w:jc w:val="both"/>
              <w:rPr>
                <w:rFonts w:ascii="宋体" w:eastAsia="宋体" w:hAnsi="宋体" w:cs="Arial"/>
                <w:sz w:val="24"/>
                <w:szCs w:val="24"/>
                <w:lang w:eastAsia="zh-CN"/>
              </w:rPr>
            </w:pPr>
          </w:p>
          <w:p w:rsidR="003A548C" w:rsidRPr="008E051B" w:rsidRDefault="003A548C" w:rsidP="00F40943">
            <w:pPr>
              <w:spacing w:after="0" w:line="360" w:lineRule="auto"/>
              <w:jc w:val="both"/>
              <w:rPr>
                <w:rFonts w:ascii="宋体" w:eastAsia="宋体" w:hAnsi="宋体" w:cs="Arial"/>
                <w:sz w:val="24"/>
                <w:szCs w:val="24"/>
                <w:lang w:eastAsia="zh-CN"/>
              </w:rPr>
            </w:pPr>
          </w:p>
          <w:p w:rsidR="003A548C" w:rsidRPr="008E051B" w:rsidRDefault="00F94C79" w:rsidP="00F40943">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借：资金结存——货币资金</w:t>
            </w:r>
          </w:p>
          <w:p w:rsidR="003A548C" w:rsidRPr="008E051B" w:rsidRDefault="00F94C79" w:rsidP="00B91FED">
            <w:pPr>
              <w:spacing w:after="0" w:line="360" w:lineRule="auto"/>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 xml:space="preserve">    贷：投资预算收益（</w:t>
            </w:r>
            <w:r w:rsidR="00B91FED" w:rsidRPr="008E051B">
              <w:rPr>
                <w:rFonts w:ascii="宋体" w:eastAsia="宋体" w:hAnsi="宋体" w:cs="Arial" w:hint="eastAsia"/>
                <w:sz w:val="24"/>
                <w:szCs w:val="24"/>
                <w:lang w:eastAsia="zh-CN"/>
              </w:rPr>
              <w:t>取得</w:t>
            </w:r>
            <w:r w:rsidRPr="008E051B">
              <w:rPr>
                <w:rFonts w:ascii="宋体" w:eastAsia="宋体" w:hAnsi="宋体" w:cs="Arial" w:hint="eastAsia"/>
                <w:sz w:val="24"/>
                <w:szCs w:val="24"/>
                <w:lang w:eastAsia="zh-CN"/>
              </w:rPr>
              <w:t>价款减去投资成本和相关税费后的金额）</w:t>
            </w:r>
          </w:p>
        </w:tc>
      </w:tr>
    </w:tbl>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五）事业单位按规定应将长期股权投资持有期间取得的投资净收益，以及以现金取得的长期股权投资处置时取得的净收入（处置价款扣除投资本金和相关税费后的净额）上缴本级财政并纳入一般公共预算管理的，在应收或收到上述有关款项时不确认投资收益，应通过“应缴财政款”科目核算。</w:t>
      </w:r>
    </w:p>
    <w:p w:rsidR="003A548C" w:rsidRPr="008E051B" w:rsidRDefault="005D727F"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三</w:t>
      </w:r>
      <w:r w:rsidR="00F94C79" w:rsidRPr="008E051B">
        <w:rPr>
          <w:rFonts w:ascii="宋体" w:eastAsia="宋体" w:hAnsi="宋体" w:cs="Arial" w:hint="eastAsia"/>
          <w:b/>
          <w:sz w:val="24"/>
          <w:szCs w:val="24"/>
          <w:lang w:eastAsia="zh-CN"/>
        </w:rPr>
        <w:t>、关于单位年末暂收</w:t>
      </w:r>
      <w:proofErr w:type="gramStart"/>
      <w:r w:rsidR="00F94C79" w:rsidRPr="008E051B">
        <w:rPr>
          <w:rFonts w:ascii="宋体" w:eastAsia="宋体" w:hAnsi="宋体" w:cs="Arial" w:hint="eastAsia"/>
          <w:b/>
          <w:sz w:val="24"/>
          <w:szCs w:val="24"/>
          <w:lang w:eastAsia="zh-CN"/>
        </w:rPr>
        <w:t>暂付非财政资金</w:t>
      </w:r>
      <w:proofErr w:type="gramEnd"/>
      <w:r w:rsidR="00F94C79" w:rsidRPr="008E051B">
        <w:rPr>
          <w:rFonts w:ascii="宋体" w:eastAsia="宋体" w:hAnsi="宋体" w:cs="Arial" w:hint="eastAsia"/>
          <w:b/>
          <w:sz w:val="24"/>
          <w:szCs w:val="24"/>
          <w:lang w:eastAsia="zh-CN"/>
        </w:rPr>
        <w:t>的会计处理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单位对于纳入本年度部门预算管理的现金收支业务，在采用财务会计核算的同时应当及时进行预算会计核算。年末结账前，单位应当对暂收暂付款项进行全面清理，并对于纳入本年度部门预算管理的暂收暂付款项进行预算会计处理，确认相关预算收支，确保预算会计信息能够完整反映本年度部门预算收支执行情况。</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lastRenderedPageBreak/>
        <w:t>（一）对于纳入本年度部门预算管理的暂付款项，按照《政府会计制度》规定，单位在支付款项时可不做预算会计处理，待结算或报销时，按照结算或报销的金额，借</w:t>
      </w:r>
      <w:proofErr w:type="gramStart"/>
      <w:r w:rsidRPr="008E051B">
        <w:rPr>
          <w:rFonts w:ascii="宋体" w:eastAsia="宋体" w:hAnsi="宋体" w:cs="Arial" w:hint="eastAsia"/>
          <w:sz w:val="24"/>
          <w:szCs w:val="24"/>
          <w:lang w:eastAsia="zh-CN"/>
        </w:rPr>
        <w:t>记相关</w:t>
      </w:r>
      <w:proofErr w:type="gramEnd"/>
      <w:r w:rsidRPr="008E051B">
        <w:rPr>
          <w:rFonts w:ascii="宋体" w:eastAsia="宋体" w:hAnsi="宋体" w:cs="Arial" w:hint="eastAsia"/>
          <w:sz w:val="24"/>
          <w:szCs w:val="24"/>
          <w:lang w:eastAsia="zh-CN"/>
        </w:rPr>
        <w:t>预算支出科目，贷记“资金结存”科目。但是，在年末结账前，对于尚未结算或报销的暂付款项，单位应当按照暂付的金额，借</w:t>
      </w:r>
      <w:proofErr w:type="gramStart"/>
      <w:r w:rsidRPr="008E051B">
        <w:rPr>
          <w:rFonts w:ascii="宋体" w:eastAsia="宋体" w:hAnsi="宋体" w:cs="Arial" w:hint="eastAsia"/>
          <w:sz w:val="24"/>
          <w:szCs w:val="24"/>
          <w:lang w:eastAsia="zh-CN"/>
        </w:rPr>
        <w:t>记相关</w:t>
      </w:r>
      <w:proofErr w:type="gramEnd"/>
      <w:r w:rsidRPr="008E051B">
        <w:rPr>
          <w:rFonts w:ascii="宋体" w:eastAsia="宋体" w:hAnsi="宋体" w:cs="Arial" w:hint="eastAsia"/>
          <w:sz w:val="24"/>
          <w:szCs w:val="24"/>
          <w:lang w:eastAsia="zh-CN"/>
        </w:rPr>
        <w:t>预算支出科目，贷记“资金结存”科目。以后年度，实际结算或报销金额与已计入预算支出的金额不一致的，单位应当通过相关预算结转结余科目“年初余额调整”明细科目进行处理。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二）对于应当纳入下一年度部门预算管理的暂收款项，单位在收到款项时，借记“银行存款”等科目，贷记“其他应付款”科目；本年度不做预算会计处理。待下一年初，单位应当按照上年暂收的款项金额，借记“其他应付款”科目，贷</w:t>
      </w:r>
      <w:proofErr w:type="gramStart"/>
      <w:r w:rsidRPr="008E051B">
        <w:rPr>
          <w:rFonts w:ascii="宋体" w:eastAsia="宋体" w:hAnsi="宋体" w:cs="Arial" w:hint="eastAsia"/>
          <w:sz w:val="24"/>
          <w:szCs w:val="24"/>
          <w:lang w:eastAsia="zh-CN"/>
        </w:rPr>
        <w:t>记有关</w:t>
      </w:r>
      <w:proofErr w:type="gramEnd"/>
      <w:r w:rsidRPr="008E051B">
        <w:rPr>
          <w:rFonts w:ascii="宋体" w:eastAsia="宋体" w:hAnsi="宋体" w:cs="Arial" w:hint="eastAsia"/>
          <w:sz w:val="24"/>
          <w:szCs w:val="24"/>
          <w:lang w:eastAsia="zh-CN"/>
        </w:rPr>
        <w:t>收入科目；同时在预算会计中，按照暂收款项的金额，借记“资金结存”科目，贷</w:t>
      </w:r>
      <w:proofErr w:type="gramStart"/>
      <w:r w:rsidRPr="008E051B">
        <w:rPr>
          <w:rFonts w:ascii="宋体" w:eastAsia="宋体" w:hAnsi="宋体" w:cs="Arial" w:hint="eastAsia"/>
          <w:sz w:val="24"/>
          <w:szCs w:val="24"/>
          <w:lang w:eastAsia="zh-CN"/>
        </w:rPr>
        <w:t>记有关</w:t>
      </w:r>
      <w:proofErr w:type="gramEnd"/>
      <w:r w:rsidRPr="008E051B">
        <w:rPr>
          <w:rFonts w:ascii="宋体" w:eastAsia="宋体" w:hAnsi="宋体" w:cs="Arial" w:hint="eastAsia"/>
          <w:sz w:val="24"/>
          <w:szCs w:val="24"/>
          <w:lang w:eastAsia="zh-CN"/>
        </w:rPr>
        <w:t>预算收入科目。</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对于应当纳入下一年度部门预算管理的暂付款项，单位在付出款项时，借记“其他应收款”科目，贷记“银行存款”等科目，本年度不做预算会计处理。待下一年实际结算或报销时，单位应当</w:t>
      </w:r>
      <w:r w:rsidR="000C21C2" w:rsidRPr="008E051B">
        <w:rPr>
          <w:rFonts w:ascii="宋体" w:eastAsia="宋体" w:hAnsi="宋体" w:cs="Arial" w:hint="eastAsia"/>
          <w:sz w:val="24"/>
          <w:szCs w:val="24"/>
          <w:lang w:eastAsia="zh-CN"/>
        </w:rPr>
        <w:t>按照</w:t>
      </w:r>
      <w:r w:rsidRPr="008E051B">
        <w:rPr>
          <w:rFonts w:ascii="宋体" w:eastAsia="宋体" w:hAnsi="宋体" w:cs="Arial" w:hint="eastAsia"/>
          <w:sz w:val="24"/>
          <w:szCs w:val="24"/>
          <w:lang w:eastAsia="zh-CN"/>
        </w:rPr>
        <w:t>实际结算或报销的金额，借</w:t>
      </w:r>
      <w:proofErr w:type="gramStart"/>
      <w:r w:rsidRPr="008E051B">
        <w:rPr>
          <w:rFonts w:ascii="宋体" w:eastAsia="宋体" w:hAnsi="宋体" w:cs="Arial" w:hint="eastAsia"/>
          <w:sz w:val="24"/>
          <w:szCs w:val="24"/>
          <w:lang w:eastAsia="zh-CN"/>
        </w:rPr>
        <w:t>记有关</w:t>
      </w:r>
      <w:proofErr w:type="gramEnd"/>
      <w:r w:rsidRPr="008E051B">
        <w:rPr>
          <w:rFonts w:ascii="宋体" w:eastAsia="宋体" w:hAnsi="宋体" w:cs="Arial" w:hint="eastAsia"/>
          <w:sz w:val="24"/>
          <w:szCs w:val="24"/>
          <w:lang w:eastAsia="zh-CN"/>
        </w:rPr>
        <w:t>费用科目，按照之前暂付的款项金额，贷记“其他应收款”科目，按</w:t>
      </w:r>
      <w:r w:rsidR="000C21C2" w:rsidRPr="008E051B">
        <w:rPr>
          <w:rFonts w:ascii="宋体" w:eastAsia="宋体" w:hAnsi="宋体" w:cs="Arial" w:hint="eastAsia"/>
          <w:sz w:val="24"/>
          <w:szCs w:val="24"/>
          <w:lang w:eastAsia="zh-CN"/>
        </w:rPr>
        <w:t>照</w:t>
      </w:r>
      <w:r w:rsidRPr="008E051B">
        <w:rPr>
          <w:rFonts w:ascii="宋体" w:eastAsia="宋体" w:hAnsi="宋体" w:cs="Arial" w:hint="eastAsia"/>
          <w:sz w:val="24"/>
          <w:szCs w:val="24"/>
          <w:lang w:eastAsia="zh-CN"/>
        </w:rPr>
        <w:t>退回或补付的金额，借记或贷记“银行存款”等科目</w:t>
      </w:r>
      <w:r w:rsidR="000C21C2" w:rsidRPr="008E051B">
        <w:rPr>
          <w:rFonts w:ascii="宋体" w:eastAsia="宋体" w:hAnsi="宋体" w:cs="Arial" w:hint="eastAsia"/>
          <w:sz w:val="24"/>
          <w:szCs w:val="24"/>
          <w:lang w:eastAsia="zh-CN"/>
        </w:rPr>
        <w:t>;</w:t>
      </w:r>
      <w:r w:rsidRPr="008E051B">
        <w:rPr>
          <w:rFonts w:ascii="宋体" w:eastAsia="宋体" w:hAnsi="宋体" w:cs="Arial" w:hint="eastAsia"/>
          <w:sz w:val="24"/>
          <w:szCs w:val="24"/>
          <w:lang w:eastAsia="zh-CN"/>
        </w:rPr>
        <w:t>同时，在预算会计中，按照实际结算或报销的金额，借</w:t>
      </w:r>
      <w:proofErr w:type="gramStart"/>
      <w:r w:rsidRPr="008E051B">
        <w:rPr>
          <w:rFonts w:ascii="宋体" w:eastAsia="宋体" w:hAnsi="宋体" w:cs="Arial" w:hint="eastAsia"/>
          <w:sz w:val="24"/>
          <w:szCs w:val="24"/>
          <w:lang w:eastAsia="zh-CN"/>
        </w:rPr>
        <w:t>记有关</w:t>
      </w:r>
      <w:proofErr w:type="gramEnd"/>
      <w:r w:rsidRPr="008E051B">
        <w:rPr>
          <w:rFonts w:ascii="宋体" w:eastAsia="宋体" w:hAnsi="宋体" w:cs="Arial" w:hint="eastAsia"/>
          <w:sz w:val="24"/>
          <w:szCs w:val="24"/>
          <w:lang w:eastAsia="zh-CN"/>
        </w:rPr>
        <w:t>支出科目，贷记“资金结存”科目。下一年度内尚未结算或报销的，按照上述（一）中的规定处理。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（三）对于不纳入部门预算管理的暂收暂付款项（如应上缴、应转拨或应退回的资金），单位应当按照《政府会计制度》规定，仅作财务会计处理，不做预算会计处理。</w:t>
      </w:r>
    </w:p>
    <w:p w:rsidR="003A548C" w:rsidRPr="008E051B" w:rsidRDefault="005D727F"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四</w:t>
      </w:r>
      <w:r w:rsidR="00F94C79" w:rsidRPr="008E051B">
        <w:rPr>
          <w:rFonts w:ascii="宋体" w:eastAsia="宋体" w:hAnsi="宋体" w:cs="Arial" w:hint="eastAsia"/>
          <w:b/>
          <w:sz w:val="24"/>
          <w:szCs w:val="24"/>
          <w:lang w:eastAsia="zh-CN"/>
        </w:rPr>
        <w:t>、关于由有关部门统一管理，但由其他部门占有、使用的固定资产的会计处理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按规定由本级政府机关事务管理等部门统一管理（如仅持有资产的产权证等），但具体由其他部门占有、使用的固定资产，应当由占有、使用该资产的部门作为</w:t>
      </w:r>
      <w:r w:rsidR="00AE62A0" w:rsidRPr="008E051B">
        <w:rPr>
          <w:rFonts w:ascii="宋体" w:eastAsia="宋体" w:hAnsi="宋体" w:cs="Arial" w:hint="eastAsia"/>
          <w:sz w:val="24"/>
          <w:szCs w:val="24"/>
          <w:lang w:eastAsia="zh-CN"/>
        </w:rPr>
        <w:t>会计</w:t>
      </w:r>
      <w:r w:rsidRPr="008E051B">
        <w:rPr>
          <w:rFonts w:ascii="宋体" w:eastAsia="宋体" w:hAnsi="宋体" w:cs="Arial" w:hint="eastAsia"/>
          <w:sz w:val="24"/>
          <w:szCs w:val="24"/>
          <w:lang w:eastAsia="zh-CN"/>
        </w:rPr>
        <w:t>确认主体，对该资产进行会计核算。</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2019年1月1日前相关部门未按照上述规定对某项固定资产进行会计核算的，在新旧会计制度转换时，按照以下规定处理：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lastRenderedPageBreak/>
        <w:t>（一）该项固定资产已经在其统一管理的部门入账的，负责资产统一管理的部门应当按照该项固定资产已经计提的折旧金额（按照原制度已经计提折旧的），借记新账的“固定资产累计折旧”科目，按照该项固定资产的账面余额，贷记新账的“固定资产”科目，按其差额，借记新账的“累计盈余”科目；占有、使用该资产的部门应当按照该项固定资产在统一管理部门记录的账面余额，借记新账的“固定资产”科目，按照该项资产在统一管理部门已经计提的折旧金额（按照原制度已经计提折旧的），贷记新账的“固定资产累计折旧”科目，按其差额，贷记新账的“累计盈余”科目。</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（二）该项固定资产尚未登记入账的，应当由占有、使用该项资产的部门按照盘盈资产进行处理，具体账务处理参照财政部已经印发的相关衔接规定执行。</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在按照上述规定进行新旧制度衔接时，相关会计主体的会计处理应当协调一致，确保资产确认不重复、不遗漏。在新旧制度衔接中，如涉及资产产权变更或实物资产划拨等事项，相关会计主体应当按照资产管理有关规定办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多个部门共同占用、使用同一项固定资产，且该项固定资产由本级政府机关事务管理等部门统一管理并负责后续维护、改造的，由本级政府机关事务管理等部门作为确认主体，对该项固定资产进行会计核算。</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同一部门内部所属单位共同占有、使用同一项固定资产，或者所属事业单位占有、使用部门本级拥有产权的固定资产的，按照本部门规定对固定资产进行会计核算。</w:t>
      </w:r>
    </w:p>
    <w:p w:rsidR="003A548C" w:rsidRPr="008E051B" w:rsidRDefault="005D727F"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五</w:t>
      </w:r>
      <w:r w:rsidR="00F94C79" w:rsidRPr="008E051B">
        <w:rPr>
          <w:rFonts w:ascii="宋体" w:eastAsia="宋体" w:hAnsi="宋体" w:cs="Arial" w:hint="eastAsia"/>
          <w:b/>
          <w:sz w:val="24"/>
          <w:szCs w:val="24"/>
          <w:lang w:eastAsia="zh-CN"/>
        </w:rPr>
        <w:t>、关于单位无偿调入资产的账务处理</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按照相关政府会计准则规定，单位（调入方）接受其他政府会计主体无偿调入的固定资产、无形资产、公共基础设施等资产，其成本按照调出方的账面价值加上相关税费确定。但是，无偿调入资产在调出方的账面价值为零（即已经按制度规定提足折旧）或者账面余额为名义金额的，单位（调入方）应当将调入过程中其承担的相关税费计入当期费用，不计入调入资产的初始入账成本。</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无偿调入资产在调出方的账面价值为零的，单位（调入方）在进行财务会计处理时，应当按照该项资产在调出方的账面余额，借记“固定资产”“无形资产”等科目，按照该项资产在调出方已经计提的折旧或摊销金额（与资产账面余额相等），贷记“固定资产累计折旧”“无形资产累计摊销”等科目；按照支付的相</w:t>
      </w:r>
      <w:r w:rsidRPr="008E051B">
        <w:rPr>
          <w:rFonts w:ascii="宋体" w:eastAsia="宋体" w:hAnsi="宋体" w:cs="Arial" w:hint="eastAsia"/>
          <w:sz w:val="24"/>
          <w:szCs w:val="24"/>
          <w:lang w:eastAsia="zh-CN"/>
        </w:rPr>
        <w:lastRenderedPageBreak/>
        <w:t>关税费，借记“其他费用”科目，贷记“零余额账户用款额度”“银行存款”等科目。同时，在预算会计中按照支付的相关税费，借记“其他支出”科目，贷记“资金结存”科目。</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无偿调入资产在调出方的账面余额为名义金额的，单位（调入方）在进行财务会计处理时，应当按照名义金额，借记“固定资产”“无形资产”等科目，贷记“无偿调拨净资产”科目；按照支付的相关税费，借记“其他费用”科目，贷记“零余额账户用款额度”“银行存款”等科目。同时，在预算会计中按照支付的相关税费，借记“其他支出”科目，贷记“资金结存”科目。</w:t>
      </w:r>
    </w:p>
    <w:p w:rsidR="003A548C" w:rsidRPr="008E051B" w:rsidRDefault="005D727F"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六</w:t>
      </w:r>
      <w:r w:rsidR="00F94C79" w:rsidRPr="008E051B">
        <w:rPr>
          <w:rFonts w:ascii="宋体" w:eastAsia="宋体" w:hAnsi="宋体" w:cs="Arial" w:hint="eastAsia"/>
          <w:b/>
          <w:sz w:val="24"/>
          <w:szCs w:val="24"/>
          <w:lang w:eastAsia="zh-CN"/>
        </w:rPr>
        <w:t>、关于“业务活动费用”和“单位管理费用”科目的核算范围</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按照《政府会计制度》规定，“业务活动费用”科目核算单位为实现其职能目标、依法履职或开展专业业务活动及其辅助活动所发生的各项费用。“单位管理费用”科目核算事业单位本级行政及后勤管理部门开展管理活动发生的各项费用，包括单位行政及后勤管理部门发生的人员经费、公用经费、资产折旧（摊销）等费用，以及由单位统一负担的离退休人员经费、工会经费、诉讼费、中介费等。</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按照上述规定，行政单位不使用“单位管理费用”科目，其为实现其职能目标、依法履职发生的各项费用均计入“业务活动费用”科目</w:t>
      </w:r>
      <w:r w:rsidR="006E2148" w:rsidRPr="008E051B">
        <w:rPr>
          <w:rFonts w:ascii="宋体" w:eastAsia="宋体" w:hAnsi="宋体" w:cs="Arial" w:hint="eastAsia"/>
          <w:sz w:val="24"/>
          <w:szCs w:val="24"/>
          <w:lang w:eastAsia="zh-CN"/>
        </w:rPr>
        <w:t>。</w:t>
      </w:r>
      <w:r w:rsidRPr="008E051B">
        <w:rPr>
          <w:rFonts w:ascii="宋体" w:eastAsia="宋体" w:hAnsi="宋体" w:cs="Arial" w:hint="eastAsia"/>
          <w:sz w:val="24"/>
          <w:szCs w:val="24"/>
          <w:lang w:eastAsia="zh-CN"/>
        </w:rPr>
        <w:t>事业单位应当同时使用“业务活动费用”和“单位管理费用”科目，其</w:t>
      </w:r>
      <w:r w:rsidR="006E2148" w:rsidRPr="008E051B">
        <w:rPr>
          <w:rFonts w:ascii="宋体" w:eastAsia="宋体" w:hAnsi="宋体" w:cs="Arial" w:hint="eastAsia"/>
          <w:sz w:val="24"/>
          <w:szCs w:val="24"/>
          <w:lang w:eastAsia="zh-CN"/>
        </w:rPr>
        <w:t>业务部门</w:t>
      </w:r>
      <w:r w:rsidRPr="008E051B">
        <w:rPr>
          <w:rFonts w:ascii="宋体" w:eastAsia="宋体" w:hAnsi="宋体" w:cs="Arial" w:hint="eastAsia"/>
          <w:sz w:val="24"/>
          <w:szCs w:val="24"/>
          <w:lang w:eastAsia="zh-CN"/>
        </w:rPr>
        <w:t>开展专业业务活动及其辅助活动发生的各项费用计入“业务活动费用”科目，其本级行政及后勤管理部门发生的各项费用以及由单位统一负担的费用计入“单位管理费用”科目。</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事业单位应当按照《政府会计制度》的规定，结合本单位实际，确定本单位业务活动费用和单位管理费用划分的具体会计政策。</w:t>
      </w:r>
    </w:p>
    <w:p w:rsidR="003A548C" w:rsidRPr="008E051B" w:rsidRDefault="005D727F"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七</w:t>
      </w:r>
      <w:r w:rsidR="00F94C79" w:rsidRPr="008E051B">
        <w:rPr>
          <w:rFonts w:ascii="宋体" w:eastAsia="宋体" w:hAnsi="宋体" w:cs="Arial" w:hint="eastAsia"/>
          <w:b/>
          <w:sz w:val="24"/>
          <w:szCs w:val="24"/>
          <w:lang w:eastAsia="zh-CN"/>
        </w:rPr>
        <w:t>、关于“保障性住房”科目的核算范围</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政府会计制度》中规定的“保障性住房”科目，核算单位为满足社会公共需要而控制的保障性住房的原值。此处的保障性住房，主要指地方政府住房保障主管部门持有全部或部分产权份额、纳入城镇住房保障规划和年度计划、向符合条件的保障对象提供的住房。</w:t>
      </w:r>
    </w:p>
    <w:p w:rsidR="003A548C" w:rsidRPr="008E051B" w:rsidRDefault="005D727F"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八</w:t>
      </w:r>
      <w:r w:rsidR="00F94C79" w:rsidRPr="008E051B">
        <w:rPr>
          <w:rFonts w:ascii="宋体" w:eastAsia="宋体" w:hAnsi="宋体" w:cs="Arial" w:hint="eastAsia"/>
          <w:b/>
          <w:sz w:val="24"/>
          <w:szCs w:val="24"/>
          <w:lang w:eastAsia="zh-CN"/>
        </w:rPr>
        <w:t>、关于第三方支付平台账户资金的会计科目适用问题</w:t>
      </w:r>
    </w:p>
    <w:p w:rsidR="003A548C" w:rsidRPr="008E051B" w:rsidRDefault="00F94C79"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lastRenderedPageBreak/>
        <w:t>单位通过支付宝、</w:t>
      </w:r>
      <w:proofErr w:type="gramStart"/>
      <w:r w:rsidRPr="008E051B">
        <w:rPr>
          <w:rFonts w:ascii="宋体" w:eastAsia="宋体" w:hAnsi="宋体" w:cs="Arial" w:hint="eastAsia"/>
          <w:sz w:val="24"/>
          <w:szCs w:val="24"/>
          <w:lang w:eastAsia="zh-CN"/>
        </w:rPr>
        <w:t>微信等</w:t>
      </w:r>
      <w:proofErr w:type="gramEnd"/>
      <w:r w:rsidRPr="008E051B">
        <w:rPr>
          <w:rFonts w:ascii="宋体" w:eastAsia="宋体" w:hAnsi="宋体" w:cs="Arial" w:hint="eastAsia"/>
          <w:sz w:val="24"/>
          <w:szCs w:val="24"/>
          <w:lang w:eastAsia="zh-CN"/>
        </w:rPr>
        <w:t>方式取得相关收入的，对于尚未转入银行存款的支付宝、</w:t>
      </w:r>
      <w:proofErr w:type="gramStart"/>
      <w:r w:rsidRPr="008E051B">
        <w:rPr>
          <w:rFonts w:ascii="宋体" w:eastAsia="宋体" w:hAnsi="宋体" w:cs="Arial" w:hint="eastAsia"/>
          <w:sz w:val="24"/>
          <w:szCs w:val="24"/>
          <w:lang w:eastAsia="zh-CN"/>
        </w:rPr>
        <w:t>微信收</w:t>
      </w:r>
      <w:proofErr w:type="gramEnd"/>
      <w:r w:rsidRPr="008E051B">
        <w:rPr>
          <w:rFonts w:ascii="宋体" w:eastAsia="宋体" w:hAnsi="宋体" w:cs="Arial" w:hint="eastAsia"/>
          <w:sz w:val="24"/>
          <w:szCs w:val="24"/>
          <w:lang w:eastAsia="zh-CN"/>
        </w:rPr>
        <w:t>付款等第三方支付平台账户的余额，应当通过“其他货币资金”科目核算。</w:t>
      </w:r>
    </w:p>
    <w:p w:rsidR="0016392E" w:rsidRPr="008E051B" w:rsidRDefault="0016392E"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九、关于有关往来科目和收入、费用科目明细信息的披露</w:t>
      </w:r>
    </w:p>
    <w:p w:rsidR="0016392E" w:rsidRPr="008E051B" w:rsidRDefault="0016392E"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单位在按照债务人（债权人）对应收款项（应付款项）进行明细核算的基础上，应当在财务报表附注中按照债务人（债权人）分类对应收款项（应付款项）进行披露。债务人（债权人）类别主要分为本部门内部单位（指纳入单位所属部门财务报告合并范围的单位，下同）、本部门以外同级政府单位、本部门以外非同级政府单位和其他单位。</w:t>
      </w:r>
    </w:p>
    <w:p w:rsidR="0016392E" w:rsidRPr="008E051B" w:rsidRDefault="0016392E"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单位在按照收入来源（支付对象）对有关收入科目（费用科目）进行明细核算的基础上，应当在财务报表附注中按照收入来源（支付对象）分类对有关收入（费用）进行披露。收入来源（支付对象）主要分为本部门内部单位、本部门以外同级政府单位、本部门以外非同级政府单位和其他单位。</w:t>
      </w:r>
    </w:p>
    <w:p w:rsidR="0016392E" w:rsidRPr="008E051B" w:rsidRDefault="0016392E"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单位按照《政府会计制度》中财务报表附注所列格式分类对应收款项、应付款项、有关收入和费用进行具体披露时，应当遵循重要性原则。单位对重要性的判断，应当依据《政府会计准则第9号——财务报表编制和列报》，并考虑满足编制合并财务报表的信息需要，</w:t>
      </w:r>
      <w:proofErr w:type="gramStart"/>
      <w:r w:rsidRPr="008E051B">
        <w:rPr>
          <w:rFonts w:ascii="宋体" w:eastAsia="宋体" w:hAnsi="宋体" w:cs="Arial" w:hint="eastAsia"/>
          <w:sz w:val="24"/>
          <w:szCs w:val="24"/>
          <w:lang w:eastAsia="zh-CN"/>
        </w:rPr>
        <w:t>即相关</w:t>
      </w:r>
      <w:proofErr w:type="gramEnd"/>
      <w:r w:rsidRPr="008E051B">
        <w:rPr>
          <w:rFonts w:ascii="宋体" w:eastAsia="宋体" w:hAnsi="宋体" w:cs="Arial" w:hint="eastAsia"/>
          <w:sz w:val="24"/>
          <w:szCs w:val="24"/>
          <w:lang w:eastAsia="zh-CN"/>
        </w:rPr>
        <w:t>合并主体能够基于单位所披露的信息，</w:t>
      </w:r>
      <w:proofErr w:type="gramStart"/>
      <w:r w:rsidRPr="008E051B">
        <w:rPr>
          <w:rFonts w:ascii="宋体" w:eastAsia="宋体" w:hAnsi="宋体" w:cs="Arial" w:hint="eastAsia"/>
          <w:sz w:val="24"/>
          <w:szCs w:val="24"/>
          <w:lang w:eastAsia="zh-CN"/>
        </w:rPr>
        <w:t>抵销</w:t>
      </w:r>
      <w:proofErr w:type="gramEnd"/>
      <w:r w:rsidRPr="008E051B">
        <w:rPr>
          <w:rFonts w:ascii="宋体" w:eastAsia="宋体" w:hAnsi="宋体" w:cs="Arial" w:hint="eastAsia"/>
          <w:sz w:val="24"/>
          <w:szCs w:val="24"/>
          <w:lang w:eastAsia="zh-CN"/>
        </w:rPr>
        <w:t>合并主体与被合并主体之间、被合并主体相互之间发生的债权债务、收入费用等内部业务或事项对财务报表的影响。</w:t>
      </w:r>
    </w:p>
    <w:p w:rsidR="005D727F" w:rsidRPr="008E051B" w:rsidRDefault="0016392E"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十</w:t>
      </w:r>
      <w:r w:rsidR="005D727F" w:rsidRPr="008E051B">
        <w:rPr>
          <w:rFonts w:ascii="宋体" w:eastAsia="宋体" w:hAnsi="宋体" w:cs="Arial" w:hint="eastAsia"/>
          <w:b/>
          <w:sz w:val="24"/>
          <w:szCs w:val="24"/>
          <w:lang w:eastAsia="zh-CN"/>
        </w:rPr>
        <w:t>、关于单位售房款的会计处理</w:t>
      </w:r>
    </w:p>
    <w:p w:rsidR="005D727F"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中央级行政事业单位应当自2019年1月1日起，将归属于本单位的售房款及其利息收入纳入部门预算管理，并按照《政府会计制度》统一进行会计核算。收到售房款项（售房收入扣除按标准计提的住宅专项维修资金）及其利息收入时，借记“银行存款”科目，贷记“其他收入”科目；同时在预算会计中借记“资金结存”科目，贷记“其他预算收入”科目。按规定使用售房款发放购房补贴的，计提购房补贴费用时，借记“业务活动费用”“单位管理费用”等科目，贷记“应付职工薪酬”科目的相关明细科目；发放购房补贴时，借记“应付职工薪酬”科目的相关明细科目，贷记“银行存款”等科目，同时在预算会计中借记“行政支出”“事业支出”等科目，贷记“资金结存”科目。</w:t>
      </w:r>
    </w:p>
    <w:p w:rsidR="005D727F"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lastRenderedPageBreak/>
        <w:t>新旧会计制度转换时，中央级行政单位和中央级事业单位应当分别进行如下会计处理：</w:t>
      </w:r>
    </w:p>
    <w:p w:rsidR="005D727F"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（一）行政单位在原账中将售房款作为负债（其他应付款或长期应付款等）核算的，应当将有关负债科目的相关明细科目余额，转入新账财务会计中的“累计盈余”科目；同时，按照相同金额在新</w:t>
      </w:r>
      <w:proofErr w:type="gramStart"/>
      <w:r w:rsidRPr="008E051B">
        <w:rPr>
          <w:rFonts w:ascii="宋体" w:eastAsia="宋体" w:hAnsi="宋体" w:cs="Arial" w:hint="eastAsia"/>
          <w:sz w:val="24"/>
          <w:szCs w:val="24"/>
          <w:lang w:eastAsia="zh-CN"/>
        </w:rPr>
        <w:t>账</w:t>
      </w:r>
      <w:proofErr w:type="gramEnd"/>
      <w:r w:rsidRPr="008E051B">
        <w:rPr>
          <w:rFonts w:ascii="宋体" w:eastAsia="宋体" w:hAnsi="宋体" w:cs="Arial" w:hint="eastAsia"/>
          <w:sz w:val="24"/>
          <w:szCs w:val="24"/>
          <w:lang w:eastAsia="zh-CN"/>
        </w:rPr>
        <w:t>预算会计中借记“资金结存”科目，贷记“非财政拨款结转”相关明细科目。</w:t>
      </w:r>
    </w:p>
    <w:p w:rsidR="005D727F"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行政单位原对售房款单独建账、单独核算（即未将售房款资金纳入“大账”核算）的，应当将售房款资金统一纳入“大账”核算，按照有关账套（或台账）核算的售房款余额，在新</w:t>
      </w:r>
      <w:proofErr w:type="gramStart"/>
      <w:r w:rsidRPr="008E051B">
        <w:rPr>
          <w:rFonts w:ascii="宋体" w:eastAsia="宋体" w:hAnsi="宋体" w:cs="Arial" w:hint="eastAsia"/>
          <w:sz w:val="24"/>
          <w:szCs w:val="24"/>
          <w:lang w:eastAsia="zh-CN"/>
        </w:rPr>
        <w:t>账</w:t>
      </w:r>
      <w:proofErr w:type="gramEnd"/>
      <w:r w:rsidRPr="008E051B">
        <w:rPr>
          <w:rFonts w:ascii="宋体" w:eastAsia="宋体" w:hAnsi="宋体" w:cs="Arial" w:hint="eastAsia"/>
          <w:sz w:val="24"/>
          <w:szCs w:val="24"/>
          <w:lang w:eastAsia="zh-CN"/>
        </w:rPr>
        <w:t>财务会计中借记“银行存款”等科目，贷记“累计盈余”科目；同时，按照相同金额在新</w:t>
      </w:r>
      <w:proofErr w:type="gramStart"/>
      <w:r w:rsidRPr="008E051B">
        <w:rPr>
          <w:rFonts w:ascii="宋体" w:eastAsia="宋体" w:hAnsi="宋体" w:cs="Arial" w:hint="eastAsia"/>
          <w:sz w:val="24"/>
          <w:szCs w:val="24"/>
          <w:lang w:eastAsia="zh-CN"/>
        </w:rPr>
        <w:t>账</w:t>
      </w:r>
      <w:proofErr w:type="gramEnd"/>
      <w:r w:rsidRPr="008E051B">
        <w:rPr>
          <w:rFonts w:ascii="宋体" w:eastAsia="宋体" w:hAnsi="宋体" w:cs="Arial" w:hint="eastAsia"/>
          <w:sz w:val="24"/>
          <w:szCs w:val="24"/>
          <w:lang w:eastAsia="zh-CN"/>
        </w:rPr>
        <w:t>预算会计中借记“资金结存”科目，贷记“非财政拨款结转”相关明细科目。</w:t>
      </w:r>
    </w:p>
    <w:p w:rsidR="005D727F"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（二）事业单位在原账中将售房款记入“专用基金”科目的，应当将“专用基金”科目相关明细科目的余额，转入新账财务会计中的“累计盈余”科目；同时，按照相同金额在新</w:t>
      </w:r>
      <w:proofErr w:type="gramStart"/>
      <w:r w:rsidRPr="008E051B">
        <w:rPr>
          <w:rFonts w:ascii="宋体" w:eastAsia="宋体" w:hAnsi="宋体" w:cs="Arial" w:hint="eastAsia"/>
          <w:sz w:val="24"/>
          <w:szCs w:val="24"/>
          <w:lang w:eastAsia="zh-CN"/>
        </w:rPr>
        <w:t>账</w:t>
      </w:r>
      <w:proofErr w:type="gramEnd"/>
      <w:r w:rsidRPr="008E051B">
        <w:rPr>
          <w:rFonts w:ascii="宋体" w:eastAsia="宋体" w:hAnsi="宋体" w:cs="Arial" w:hint="eastAsia"/>
          <w:sz w:val="24"/>
          <w:szCs w:val="24"/>
          <w:lang w:eastAsia="zh-CN"/>
        </w:rPr>
        <w:t>预算会计中借记“资金结存”科目，贷记“非财政拨款结转”相关明细科目。</w:t>
      </w:r>
    </w:p>
    <w:p w:rsidR="005D727F"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尚未将单位售房款纳入财政统筹使用的省级及以下行政事业单位，应当比照本解释中有关中央级行政事业单位售房款的会计处理规定执行。</w:t>
      </w:r>
    </w:p>
    <w:p w:rsidR="005D727F" w:rsidRPr="008E051B" w:rsidRDefault="0016392E"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十一</w:t>
      </w:r>
      <w:r w:rsidR="005D727F" w:rsidRPr="008E051B">
        <w:rPr>
          <w:rFonts w:ascii="宋体" w:eastAsia="宋体" w:hAnsi="宋体" w:cs="Arial" w:hint="eastAsia"/>
          <w:b/>
          <w:sz w:val="24"/>
          <w:szCs w:val="24"/>
          <w:lang w:eastAsia="zh-CN"/>
        </w:rPr>
        <w:t>、关于单位集中管理的住宅专项维修资金的会计处理</w:t>
      </w:r>
    </w:p>
    <w:p w:rsidR="005D69F0"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单位对于其集中管理的</w:t>
      </w:r>
      <w:r w:rsidR="00CA20AF" w:rsidRPr="008E051B">
        <w:rPr>
          <w:rFonts w:ascii="宋体" w:eastAsia="宋体" w:hAnsi="宋体" w:cs="Arial" w:hint="eastAsia"/>
          <w:sz w:val="24"/>
          <w:szCs w:val="24"/>
          <w:lang w:eastAsia="zh-CN"/>
        </w:rPr>
        <w:t>住宅专项维修资金，属于按规定</w:t>
      </w:r>
      <w:r w:rsidRPr="008E051B">
        <w:rPr>
          <w:rFonts w:ascii="宋体" w:eastAsia="宋体" w:hAnsi="宋体" w:cs="Arial" w:hint="eastAsia"/>
          <w:sz w:val="24"/>
          <w:szCs w:val="24"/>
          <w:lang w:eastAsia="zh-CN"/>
        </w:rPr>
        <w:t>从本单位售房收入中提取的，应当比照本解释中有关单位售房款的规定进行会计处理</w:t>
      </w:r>
      <w:r w:rsidR="00CA20AF" w:rsidRPr="008E051B">
        <w:rPr>
          <w:rFonts w:ascii="宋体" w:eastAsia="宋体" w:hAnsi="宋体" w:cs="Arial" w:hint="eastAsia"/>
          <w:sz w:val="24"/>
          <w:szCs w:val="24"/>
          <w:lang w:eastAsia="zh-CN"/>
        </w:rPr>
        <w:t>；属于</w:t>
      </w:r>
      <w:r w:rsidRPr="008E051B">
        <w:rPr>
          <w:rFonts w:ascii="宋体" w:eastAsia="宋体" w:hAnsi="宋体" w:cs="Arial" w:hint="eastAsia"/>
          <w:sz w:val="24"/>
          <w:szCs w:val="24"/>
          <w:lang w:eastAsia="zh-CN"/>
        </w:rPr>
        <w:t>本单位职工个人缴存的，应当作为受托代理业务，按照《政府会计制度》的规定进行会计处理。</w:t>
      </w:r>
    </w:p>
    <w:p w:rsidR="005D727F" w:rsidRPr="008E051B" w:rsidRDefault="005D727F" w:rsidP="008E051B">
      <w:pPr>
        <w:spacing w:after="0" w:line="360" w:lineRule="auto"/>
        <w:ind w:firstLineChars="200" w:firstLine="480"/>
        <w:jc w:val="both"/>
        <w:rPr>
          <w:rFonts w:ascii="宋体" w:eastAsia="宋体" w:hAnsi="宋体" w:cs="Arial"/>
          <w:sz w:val="24"/>
          <w:szCs w:val="24"/>
          <w:lang w:eastAsia="zh-CN"/>
        </w:rPr>
      </w:pPr>
      <w:r w:rsidRPr="008E051B">
        <w:rPr>
          <w:rFonts w:ascii="宋体" w:eastAsia="宋体" w:hAnsi="宋体" w:cs="Arial" w:hint="eastAsia"/>
          <w:sz w:val="24"/>
          <w:szCs w:val="24"/>
          <w:lang w:eastAsia="zh-CN"/>
        </w:rPr>
        <w:t>专门从事住宅专项维修资金管理的单位所管理的住宅专项维修资金的会计核算，由财政部另行规定。</w:t>
      </w:r>
    </w:p>
    <w:p w:rsidR="003A548C" w:rsidRPr="008E051B" w:rsidRDefault="00F94C79" w:rsidP="008E051B">
      <w:pPr>
        <w:spacing w:after="0" w:line="360" w:lineRule="auto"/>
        <w:ind w:firstLineChars="200" w:firstLine="482"/>
        <w:jc w:val="both"/>
        <w:rPr>
          <w:rFonts w:ascii="宋体" w:eastAsia="宋体" w:hAnsi="宋体" w:cs="Arial"/>
          <w:b/>
          <w:sz w:val="24"/>
          <w:szCs w:val="24"/>
          <w:lang w:eastAsia="zh-CN"/>
        </w:rPr>
      </w:pPr>
      <w:r w:rsidRPr="008E051B">
        <w:rPr>
          <w:rFonts w:ascii="宋体" w:eastAsia="宋体" w:hAnsi="宋体" w:cs="Arial" w:hint="eastAsia"/>
          <w:b/>
          <w:sz w:val="24"/>
          <w:szCs w:val="24"/>
          <w:lang w:eastAsia="zh-CN"/>
        </w:rPr>
        <w:t>十二、本</w:t>
      </w:r>
      <w:proofErr w:type="gramStart"/>
      <w:r w:rsidRPr="008E051B">
        <w:rPr>
          <w:rFonts w:ascii="宋体" w:eastAsia="宋体" w:hAnsi="宋体" w:cs="Arial" w:hint="eastAsia"/>
          <w:b/>
          <w:sz w:val="24"/>
          <w:szCs w:val="24"/>
          <w:lang w:eastAsia="zh-CN"/>
        </w:rPr>
        <w:t>解释自</w:t>
      </w:r>
      <w:proofErr w:type="gramEnd"/>
      <w:r w:rsidRPr="008E051B">
        <w:rPr>
          <w:rFonts w:ascii="宋体" w:eastAsia="宋体" w:hAnsi="宋体" w:cs="Arial" w:hint="eastAsia"/>
          <w:b/>
          <w:sz w:val="24"/>
          <w:szCs w:val="24"/>
          <w:lang w:eastAsia="zh-CN"/>
        </w:rPr>
        <w:t>2019年1月1日起施行。</w:t>
      </w:r>
    </w:p>
    <w:p w:rsidR="003A548C" w:rsidRPr="008E051B" w:rsidRDefault="003A548C" w:rsidP="008E051B">
      <w:pPr>
        <w:spacing w:after="0" w:line="360" w:lineRule="auto"/>
        <w:ind w:firstLineChars="200" w:firstLine="480"/>
        <w:jc w:val="both"/>
        <w:rPr>
          <w:rFonts w:ascii="宋体" w:eastAsia="宋体" w:hAnsi="宋体" w:cs="Arial"/>
          <w:sz w:val="24"/>
          <w:szCs w:val="24"/>
          <w:lang w:eastAsia="zh-CN"/>
        </w:rPr>
      </w:pPr>
    </w:p>
    <w:sectPr w:rsidR="003A548C" w:rsidRPr="008E051B" w:rsidSect="00096BA9">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796" w:rsidRDefault="00DB1796" w:rsidP="003A548C">
      <w:pPr>
        <w:spacing w:after="0" w:line="240" w:lineRule="auto"/>
      </w:pPr>
      <w:r>
        <w:separator/>
      </w:r>
    </w:p>
  </w:endnote>
  <w:endnote w:type="continuationSeparator" w:id="0">
    <w:p w:rsidR="00DB1796" w:rsidRDefault="00DB1796" w:rsidP="003A54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仿宋"/>
    <w:charset w:val="00"/>
    <w:family w:val="roman"/>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56157"/>
    </w:sdtPr>
    <w:sdtContent>
      <w:p w:rsidR="003A548C" w:rsidRDefault="0090574B">
        <w:pPr>
          <w:pStyle w:val="a7"/>
          <w:jc w:val="center"/>
        </w:pPr>
        <w:r w:rsidRPr="0090574B">
          <w:fldChar w:fldCharType="begin"/>
        </w:r>
        <w:r w:rsidR="00F94C79">
          <w:instrText xml:space="preserve"> PAGE   \* MERGEFORMAT </w:instrText>
        </w:r>
        <w:r w:rsidRPr="0090574B">
          <w:fldChar w:fldCharType="separate"/>
        </w:r>
        <w:r w:rsidR="008E051B" w:rsidRPr="008E051B">
          <w:rPr>
            <w:noProof/>
            <w:lang w:val="zh-CN"/>
          </w:rPr>
          <w:t>1</w:t>
        </w:r>
        <w:r>
          <w:rPr>
            <w:lang w:val="zh-CN"/>
          </w:rPr>
          <w:fldChar w:fldCharType="end"/>
        </w:r>
      </w:p>
    </w:sdtContent>
  </w:sdt>
  <w:p w:rsidR="003A548C" w:rsidRDefault="003A548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796" w:rsidRDefault="00DB1796" w:rsidP="003A548C">
      <w:pPr>
        <w:spacing w:after="0" w:line="240" w:lineRule="auto"/>
      </w:pPr>
      <w:r>
        <w:separator/>
      </w:r>
    </w:p>
  </w:footnote>
  <w:footnote w:type="continuationSeparator" w:id="0">
    <w:p w:rsidR="00DB1796" w:rsidRDefault="00DB1796" w:rsidP="003A548C">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greatwall">
    <w15:presenceInfo w15:providerId="None" w15:userId="greatwall"/>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0C05A6"/>
    <w:rsid w:val="97B76389"/>
    <w:rsid w:val="9FD1597D"/>
    <w:rsid w:val="AFBD1009"/>
    <w:rsid w:val="B7DF3F0B"/>
    <w:rsid w:val="BF661B6E"/>
    <w:rsid w:val="BFD5B6FD"/>
    <w:rsid w:val="CF7F64AD"/>
    <w:rsid w:val="D5FF66A3"/>
    <w:rsid w:val="DA6FB1F6"/>
    <w:rsid w:val="DBDBB4F8"/>
    <w:rsid w:val="DBFBFAEC"/>
    <w:rsid w:val="DDF38AB9"/>
    <w:rsid w:val="EF3F95F3"/>
    <w:rsid w:val="F7FFB751"/>
    <w:rsid w:val="F99F1573"/>
    <w:rsid w:val="F9EFB284"/>
    <w:rsid w:val="FABB9377"/>
    <w:rsid w:val="FAEDEA13"/>
    <w:rsid w:val="FBEF5DB3"/>
    <w:rsid w:val="FD779173"/>
    <w:rsid w:val="FDAF5161"/>
    <w:rsid w:val="FDFE9D46"/>
    <w:rsid w:val="FECECC08"/>
    <w:rsid w:val="FFBE738D"/>
    <w:rsid w:val="FFDB3EA7"/>
    <w:rsid w:val="FFFF524E"/>
    <w:rsid w:val="000011AA"/>
    <w:rsid w:val="00007F61"/>
    <w:rsid w:val="00012CA1"/>
    <w:rsid w:val="00014A33"/>
    <w:rsid w:val="00023341"/>
    <w:rsid w:val="00030FD2"/>
    <w:rsid w:val="000416B0"/>
    <w:rsid w:val="00052DBD"/>
    <w:rsid w:val="0005372D"/>
    <w:rsid w:val="00053A4B"/>
    <w:rsid w:val="00054B1F"/>
    <w:rsid w:val="00082046"/>
    <w:rsid w:val="00096561"/>
    <w:rsid w:val="00096BA9"/>
    <w:rsid w:val="00097879"/>
    <w:rsid w:val="00097A0A"/>
    <w:rsid w:val="000B098E"/>
    <w:rsid w:val="000B25FA"/>
    <w:rsid w:val="000B5CAB"/>
    <w:rsid w:val="000C05A6"/>
    <w:rsid w:val="000C21C2"/>
    <w:rsid w:val="000C2CE3"/>
    <w:rsid w:val="000C4E55"/>
    <w:rsid w:val="000D234A"/>
    <w:rsid w:val="000D441F"/>
    <w:rsid w:val="000D511A"/>
    <w:rsid w:val="000F2696"/>
    <w:rsid w:val="000F5821"/>
    <w:rsid w:val="000F72D4"/>
    <w:rsid w:val="001008F7"/>
    <w:rsid w:val="00102553"/>
    <w:rsid w:val="00102F77"/>
    <w:rsid w:val="00114B8D"/>
    <w:rsid w:val="00115171"/>
    <w:rsid w:val="00124A0C"/>
    <w:rsid w:val="001303B9"/>
    <w:rsid w:val="001348D1"/>
    <w:rsid w:val="00144360"/>
    <w:rsid w:val="001469E5"/>
    <w:rsid w:val="001566B5"/>
    <w:rsid w:val="0016392E"/>
    <w:rsid w:val="00166852"/>
    <w:rsid w:val="0016768A"/>
    <w:rsid w:val="00183554"/>
    <w:rsid w:val="00185567"/>
    <w:rsid w:val="0019353D"/>
    <w:rsid w:val="001973C6"/>
    <w:rsid w:val="001A0E04"/>
    <w:rsid w:val="001A4349"/>
    <w:rsid w:val="001A520A"/>
    <w:rsid w:val="001A5575"/>
    <w:rsid w:val="001B1829"/>
    <w:rsid w:val="001C424E"/>
    <w:rsid w:val="001D171F"/>
    <w:rsid w:val="001D3F36"/>
    <w:rsid w:val="001D48A3"/>
    <w:rsid w:val="001E1F2B"/>
    <w:rsid w:val="001E4AC7"/>
    <w:rsid w:val="001F1C0D"/>
    <w:rsid w:val="001F3CC9"/>
    <w:rsid w:val="001F4E26"/>
    <w:rsid w:val="0021401C"/>
    <w:rsid w:val="0021577D"/>
    <w:rsid w:val="002572CD"/>
    <w:rsid w:val="0026516C"/>
    <w:rsid w:val="00272614"/>
    <w:rsid w:val="00285D78"/>
    <w:rsid w:val="002C4AA6"/>
    <w:rsid w:val="002C5F31"/>
    <w:rsid w:val="002E2463"/>
    <w:rsid w:val="002F257A"/>
    <w:rsid w:val="002F49D1"/>
    <w:rsid w:val="0030393C"/>
    <w:rsid w:val="00310B2E"/>
    <w:rsid w:val="00311220"/>
    <w:rsid w:val="00311B62"/>
    <w:rsid w:val="00316B5F"/>
    <w:rsid w:val="00316CBF"/>
    <w:rsid w:val="003236E6"/>
    <w:rsid w:val="00335BA8"/>
    <w:rsid w:val="00336BC3"/>
    <w:rsid w:val="00360486"/>
    <w:rsid w:val="00363788"/>
    <w:rsid w:val="00365550"/>
    <w:rsid w:val="00371018"/>
    <w:rsid w:val="00373957"/>
    <w:rsid w:val="00375497"/>
    <w:rsid w:val="0038690A"/>
    <w:rsid w:val="00386B62"/>
    <w:rsid w:val="00394422"/>
    <w:rsid w:val="003A46E2"/>
    <w:rsid w:val="003A548C"/>
    <w:rsid w:val="003B32CF"/>
    <w:rsid w:val="003C2CF8"/>
    <w:rsid w:val="003C4470"/>
    <w:rsid w:val="003C528A"/>
    <w:rsid w:val="003D7FF5"/>
    <w:rsid w:val="003E09C6"/>
    <w:rsid w:val="003E39AE"/>
    <w:rsid w:val="003E47AB"/>
    <w:rsid w:val="003F4A29"/>
    <w:rsid w:val="004049EA"/>
    <w:rsid w:val="004059EB"/>
    <w:rsid w:val="00412C6C"/>
    <w:rsid w:val="00414E4D"/>
    <w:rsid w:val="00423196"/>
    <w:rsid w:val="0043359A"/>
    <w:rsid w:val="004369EF"/>
    <w:rsid w:val="00436BB9"/>
    <w:rsid w:val="004405CC"/>
    <w:rsid w:val="004441B3"/>
    <w:rsid w:val="00446D94"/>
    <w:rsid w:val="00451D12"/>
    <w:rsid w:val="00452372"/>
    <w:rsid w:val="00453078"/>
    <w:rsid w:val="00455B7B"/>
    <w:rsid w:val="0045664C"/>
    <w:rsid w:val="004715D9"/>
    <w:rsid w:val="00483C6B"/>
    <w:rsid w:val="00485968"/>
    <w:rsid w:val="00494AE0"/>
    <w:rsid w:val="004A14E0"/>
    <w:rsid w:val="004A2966"/>
    <w:rsid w:val="004C24E5"/>
    <w:rsid w:val="004C35B5"/>
    <w:rsid w:val="004C43EB"/>
    <w:rsid w:val="004C5C33"/>
    <w:rsid w:val="004D365D"/>
    <w:rsid w:val="004D77F3"/>
    <w:rsid w:val="004E307D"/>
    <w:rsid w:val="004E7E4D"/>
    <w:rsid w:val="004F36B7"/>
    <w:rsid w:val="004F54FC"/>
    <w:rsid w:val="004F6FCC"/>
    <w:rsid w:val="005214B9"/>
    <w:rsid w:val="00534DE7"/>
    <w:rsid w:val="00540E7B"/>
    <w:rsid w:val="00552023"/>
    <w:rsid w:val="00561DAC"/>
    <w:rsid w:val="00580741"/>
    <w:rsid w:val="00581770"/>
    <w:rsid w:val="005A3D4B"/>
    <w:rsid w:val="005A617C"/>
    <w:rsid w:val="005B466C"/>
    <w:rsid w:val="005C55C9"/>
    <w:rsid w:val="005D69F0"/>
    <w:rsid w:val="005D727F"/>
    <w:rsid w:val="005D7BD5"/>
    <w:rsid w:val="005F7E47"/>
    <w:rsid w:val="00600C77"/>
    <w:rsid w:val="00607CD6"/>
    <w:rsid w:val="00616049"/>
    <w:rsid w:val="00631E9B"/>
    <w:rsid w:val="0065097A"/>
    <w:rsid w:val="00670D81"/>
    <w:rsid w:val="006778B7"/>
    <w:rsid w:val="00682910"/>
    <w:rsid w:val="00684EC3"/>
    <w:rsid w:val="006B408C"/>
    <w:rsid w:val="006C53C8"/>
    <w:rsid w:val="006C5643"/>
    <w:rsid w:val="006E1083"/>
    <w:rsid w:val="006E2148"/>
    <w:rsid w:val="006F695E"/>
    <w:rsid w:val="006F6F68"/>
    <w:rsid w:val="00711A77"/>
    <w:rsid w:val="00716DA4"/>
    <w:rsid w:val="00720131"/>
    <w:rsid w:val="00737BEF"/>
    <w:rsid w:val="00747E75"/>
    <w:rsid w:val="00751D12"/>
    <w:rsid w:val="00753A03"/>
    <w:rsid w:val="00753C8D"/>
    <w:rsid w:val="0075504D"/>
    <w:rsid w:val="007573BD"/>
    <w:rsid w:val="0076185F"/>
    <w:rsid w:val="00766749"/>
    <w:rsid w:val="00771F94"/>
    <w:rsid w:val="00792A6F"/>
    <w:rsid w:val="0079793D"/>
    <w:rsid w:val="007A387B"/>
    <w:rsid w:val="007A3F27"/>
    <w:rsid w:val="007B3F6D"/>
    <w:rsid w:val="007B62D8"/>
    <w:rsid w:val="007C53CF"/>
    <w:rsid w:val="007D5259"/>
    <w:rsid w:val="007E3523"/>
    <w:rsid w:val="007E5AF7"/>
    <w:rsid w:val="007E742A"/>
    <w:rsid w:val="007F5B18"/>
    <w:rsid w:val="007F74B3"/>
    <w:rsid w:val="00802D0B"/>
    <w:rsid w:val="00803953"/>
    <w:rsid w:val="00812091"/>
    <w:rsid w:val="00815ADA"/>
    <w:rsid w:val="00830926"/>
    <w:rsid w:val="00837B5E"/>
    <w:rsid w:val="00846DC7"/>
    <w:rsid w:val="0085285B"/>
    <w:rsid w:val="0085306E"/>
    <w:rsid w:val="00862BA8"/>
    <w:rsid w:val="00866D16"/>
    <w:rsid w:val="008744FD"/>
    <w:rsid w:val="00876C13"/>
    <w:rsid w:val="008772E8"/>
    <w:rsid w:val="008826FA"/>
    <w:rsid w:val="00883DB0"/>
    <w:rsid w:val="008943CA"/>
    <w:rsid w:val="008A7D8D"/>
    <w:rsid w:val="008C195E"/>
    <w:rsid w:val="008C5519"/>
    <w:rsid w:val="008C6EC6"/>
    <w:rsid w:val="008D2351"/>
    <w:rsid w:val="008D36CC"/>
    <w:rsid w:val="008E051B"/>
    <w:rsid w:val="008E251D"/>
    <w:rsid w:val="008E2B8E"/>
    <w:rsid w:val="008E5491"/>
    <w:rsid w:val="00900800"/>
    <w:rsid w:val="0090306F"/>
    <w:rsid w:val="0090574B"/>
    <w:rsid w:val="009057AA"/>
    <w:rsid w:val="00913709"/>
    <w:rsid w:val="00931EF5"/>
    <w:rsid w:val="0093298B"/>
    <w:rsid w:val="00945CB6"/>
    <w:rsid w:val="0094612F"/>
    <w:rsid w:val="00967A36"/>
    <w:rsid w:val="009739CE"/>
    <w:rsid w:val="0098714D"/>
    <w:rsid w:val="00993B59"/>
    <w:rsid w:val="009A0D5E"/>
    <w:rsid w:val="009A4B62"/>
    <w:rsid w:val="009A4E92"/>
    <w:rsid w:val="009A5F2C"/>
    <w:rsid w:val="009B4E02"/>
    <w:rsid w:val="009B5EBC"/>
    <w:rsid w:val="009D5435"/>
    <w:rsid w:val="009E0973"/>
    <w:rsid w:val="009E351D"/>
    <w:rsid w:val="009E7B80"/>
    <w:rsid w:val="009F3996"/>
    <w:rsid w:val="00A010C3"/>
    <w:rsid w:val="00A04515"/>
    <w:rsid w:val="00A1141B"/>
    <w:rsid w:val="00A26AF4"/>
    <w:rsid w:val="00A402A0"/>
    <w:rsid w:val="00A4162D"/>
    <w:rsid w:val="00A4664F"/>
    <w:rsid w:val="00A46C0D"/>
    <w:rsid w:val="00A5355D"/>
    <w:rsid w:val="00A535CD"/>
    <w:rsid w:val="00A54E73"/>
    <w:rsid w:val="00A567DC"/>
    <w:rsid w:val="00A75302"/>
    <w:rsid w:val="00A7577A"/>
    <w:rsid w:val="00A92BFB"/>
    <w:rsid w:val="00A9474C"/>
    <w:rsid w:val="00A95E25"/>
    <w:rsid w:val="00AB15B7"/>
    <w:rsid w:val="00AB44A8"/>
    <w:rsid w:val="00AC56F8"/>
    <w:rsid w:val="00AC7D22"/>
    <w:rsid w:val="00AD1C8B"/>
    <w:rsid w:val="00AD3E18"/>
    <w:rsid w:val="00AE281C"/>
    <w:rsid w:val="00AE62A0"/>
    <w:rsid w:val="00AE76FA"/>
    <w:rsid w:val="00AF4DA2"/>
    <w:rsid w:val="00AF592C"/>
    <w:rsid w:val="00B2695E"/>
    <w:rsid w:val="00B2741A"/>
    <w:rsid w:val="00B37C86"/>
    <w:rsid w:val="00B5289C"/>
    <w:rsid w:val="00B5660D"/>
    <w:rsid w:val="00B63965"/>
    <w:rsid w:val="00B643FF"/>
    <w:rsid w:val="00B91FED"/>
    <w:rsid w:val="00BA01BA"/>
    <w:rsid w:val="00BA2C67"/>
    <w:rsid w:val="00BC160B"/>
    <w:rsid w:val="00BC604D"/>
    <w:rsid w:val="00BD3316"/>
    <w:rsid w:val="00BF3051"/>
    <w:rsid w:val="00C06A4D"/>
    <w:rsid w:val="00C10C88"/>
    <w:rsid w:val="00C3237A"/>
    <w:rsid w:val="00C660ED"/>
    <w:rsid w:val="00C73C7E"/>
    <w:rsid w:val="00C75F38"/>
    <w:rsid w:val="00C76C2F"/>
    <w:rsid w:val="00C77665"/>
    <w:rsid w:val="00C84E18"/>
    <w:rsid w:val="00C876F7"/>
    <w:rsid w:val="00C9549B"/>
    <w:rsid w:val="00CA20AF"/>
    <w:rsid w:val="00CA687B"/>
    <w:rsid w:val="00CA7416"/>
    <w:rsid w:val="00CB1311"/>
    <w:rsid w:val="00CC08C7"/>
    <w:rsid w:val="00CC10FA"/>
    <w:rsid w:val="00CC1C3D"/>
    <w:rsid w:val="00CC2882"/>
    <w:rsid w:val="00CC75A7"/>
    <w:rsid w:val="00CD2C82"/>
    <w:rsid w:val="00CE2812"/>
    <w:rsid w:val="00CE33CC"/>
    <w:rsid w:val="00CE46B2"/>
    <w:rsid w:val="00D05702"/>
    <w:rsid w:val="00D105A3"/>
    <w:rsid w:val="00D107E7"/>
    <w:rsid w:val="00D31190"/>
    <w:rsid w:val="00D3128F"/>
    <w:rsid w:val="00D319BD"/>
    <w:rsid w:val="00D372BE"/>
    <w:rsid w:val="00D43F4F"/>
    <w:rsid w:val="00D53167"/>
    <w:rsid w:val="00D56211"/>
    <w:rsid w:val="00D86C22"/>
    <w:rsid w:val="00DA2D0C"/>
    <w:rsid w:val="00DA3AEF"/>
    <w:rsid w:val="00DB154B"/>
    <w:rsid w:val="00DB1796"/>
    <w:rsid w:val="00DB2C6F"/>
    <w:rsid w:val="00DB7680"/>
    <w:rsid w:val="00DC5A03"/>
    <w:rsid w:val="00DF71D9"/>
    <w:rsid w:val="00E01B3F"/>
    <w:rsid w:val="00E079D2"/>
    <w:rsid w:val="00E12F22"/>
    <w:rsid w:val="00E138C3"/>
    <w:rsid w:val="00E20B49"/>
    <w:rsid w:val="00E32996"/>
    <w:rsid w:val="00E359F5"/>
    <w:rsid w:val="00E422EF"/>
    <w:rsid w:val="00E50C15"/>
    <w:rsid w:val="00E66792"/>
    <w:rsid w:val="00E8228D"/>
    <w:rsid w:val="00E8367D"/>
    <w:rsid w:val="00E83B04"/>
    <w:rsid w:val="00E94C93"/>
    <w:rsid w:val="00E95837"/>
    <w:rsid w:val="00EA1620"/>
    <w:rsid w:val="00EA2E59"/>
    <w:rsid w:val="00EA5379"/>
    <w:rsid w:val="00EC00ED"/>
    <w:rsid w:val="00EC3A17"/>
    <w:rsid w:val="00EC4DF0"/>
    <w:rsid w:val="00ED2C64"/>
    <w:rsid w:val="00EE1F15"/>
    <w:rsid w:val="00EF2389"/>
    <w:rsid w:val="00EF27BF"/>
    <w:rsid w:val="00F01405"/>
    <w:rsid w:val="00F07987"/>
    <w:rsid w:val="00F1011D"/>
    <w:rsid w:val="00F128B3"/>
    <w:rsid w:val="00F214E2"/>
    <w:rsid w:val="00F214F0"/>
    <w:rsid w:val="00F2664F"/>
    <w:rsid w:val="00F26929"/>
    <w:rsid w:val="00F27FEE"/>
    <w:rsid w:val="00F3066D"/>
    <w:rsid w:val="00F30A60"/>
    <w:rsid w:val="00F36BE4"/>
    <w:rsid w:val="00F40943"/>
    <w:rsid w:val="00F4345A"/>
    <w:rsid w:val="00F57046"/>
    <w:rsid w:val="00F626DC"/>
    <w:rsid w:val="00F744A9"/>
    <w:rsid w:val="00F775B1"/>
    <w:rsid w:val="00F80CEC"/>
    <w:rsid w:val="00F82C50"/>
    <w:rsid w:val="00F83F1D"/>
    <w:rsid w:val="00F9435D"/>
    <w:rsid w:val="00F94C79"/>
    <w:rsid w:val="00FA4A9F"/>
    <w:rsid w:val="00FB3D9E"/>
    <w:rsid w:val="00FB641F"/>
    <w:rsid w:val="00FD002D"/>
    <w:rsid w:val="00FD07D9"/>
    <w:rsid w:val="00FD09C2"/>
    <w:rsid w:val="00FD500B"/>
    <w:rsid w:val="00FD5DCA"/>
    <w:rsid w:val="00FD6E90"/>
    <w:rsid w:val="00FD7F68"/>
    <w:rsid w:val="00FE0424"/>
    <w:rsid w:val="00FE6BF1"/>
    <w:rsid w:val="00FF1C96"/>
    <w:rsid w:val="00FF7C86"/>
    <w:rsid w:val="23EF8515"/>
    <w:rsid w:val="319F1A47"/>
    <w:rsid w:val="3B8F7DC1"/>
    <w:rsid w:val="3FBC09D7"/>
    <w:rsid w:val="3FFD7594"/>
    <w:rsid w:val="4AD55C48"/>
    <w:rsid w:val="52965EA4"/>
    <w:rsid w:val="5BCCD491"/>
    <w:rsid w:val="5DFB030A"/>
    <w:rsid w:val="5FFF9E3A"/>
    <w:rsid w:val="6B78BDE9"/>
    <w:rsid w:val="6BEDE2EB"/>
    <w:rsid w:val="792FA18E"/>
    <w:rsid w:val="7E79D8BF"/>
    <w:rsid w:val="7ED7E43B"/>
    <w:rsid w:val="7EDF892B"/>
    <w:rsid w:val="7EFC2C6E"/>
    <w:rsid w:val="7F6BD123"/>
    <w:rsid w:val="7FEF11AF"/>
    <w:rsid w:val="7FFDA94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semiHidden="0" w:qFormat="1"/>
    <w:lsdException w:name="caption" w:uiPriority="35" w:qFormat="1"/>
    <w:lsdException w:name="footnote reference"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annotation subject"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48C"/>
    <w:pPr>
      <w:spacing w:after="200" w:line="276" w:lineRule="auto"/>
    </w:pPr>
    <w:rPr>
      <w:rFonts w:asciiTheme="minorHAnsi" w:eastAsiaTheme="minorEastAsia" w:hAnsiTheme="minorHAnsi" w:cstheme="minorBidi"/>
      <w:sz w:val="22"/>
      <w:szCs w:val="22"/>
      <w:lang w:eastAsia="en-US" w:bidi="en-US"/>
    </w:rPr>
  </w:style>
  <w:style w:type="paragraph" w:styleId="1">
    <w:name w:val="heading 1"/>
    <w:basedOn w:val="a"/>
    <w:next w:val="a"/>
    <w:link w:val="1Char"/>
    <w:uiPriority w:val="9"/>
    <w:qFormat/>
    <w:rsid w:val="003A548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3A54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3A548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3A548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A548C"/>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3A548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3A548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3A548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Char"/>
    <w:uiPriority w:val="9"/>
    <w:semiHidden/>
    <w:unhideWhenUsed/>
    <w:qFormat/>
    <w:rsid w:val="003A548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qFormat/>
    <w:rsid w:val="003A548C"/>
    <w:rPr>
      <w:b/>
      <w:bCs/>
    </w:rPr>
  </w:style>
  <w:style w:type="paragraph" w:styleId="a4">
    <w:name w:val="annotation text"/>
    <w:basedOn w:val="a"/>
    <w:link w:val="Char0"/>
    <w:uiPriority w:val="99"/>
    <w:semiHidden/>
    <w:unhideWhenUsed/>
    <w:qFormat/>
    <w:rsid w:val="003A548C"/>
  </w:style>
  <w:style w:type="paragraph" w:styleId="a5">
    <w:name w:val="caption"/>
    <w:basedOn w:val="a"/>
    <w:next w:val="a"/>
    <w:uiPriority w:val="35"/>
    <w:semiHidden/>
    <w:unhideWhenUsed/>
    <w:qFormat/>
    <w:rsid w:val="003A548C"/>
    <w:pPr>
      <w:spacing w:line="240" w:lineRule="auto"/>
    </w:pPr>
    <w:rPr>
      <w:b/>
      <w:bCs/>
      <w:color w:val="4F81BD" w:themeColor="accent1"/>
      <w:sz w:val="18"/>
      <w:szCs w:val="18"/>
    </w:rPr>
  </w:style>
  <w:style w:type="paragraph" w:styleId="a6">
    <w:name w:val="Balloon Text"/>
    <w:basedOn w:val="a"/>
    <w:link w:val="Char1"/>
    <w:uiPriority w:val="99"/>
    <w:semiHidden/>
    <w:unhideWhenUsed/>
    <w:qFormat/>
    <w:rsid w:val="003A548C"/>
    <w:pPr>
      <w:spacing w:after="0" w:line="240" w:lineRule="auto"/>
    </w:pPr>
    <w:rPr>
      <w:sz w:val="18"/>
      <w:szCs w:val="18"/>
    </w:rPr>
  </w:style>
  <w:style w:type="paragraph" w:styleId="a7">
    <w:name w:val="footer"/>
    <w:basedOn w:val="a"/>
    <w:link w:val="Char2"/>
    <w:uiPriority w:val="99"/>
    <w:unhideWhenUsed/>
    <w:qFormat/>
    <w:rsid w:val="003A548C"/>
    <w:pPr>
      <w:tabs>
        <w:tab w:val="center" w:pos="4153"/>
        <w:tab w:val="right" w:pos="8306"/>
      </w:tabs>
      <w:snapToGrid w:val="0"/>
      <w:spacing w:line="240" w:lineRule="auto"/>
    </w:pPr>
    <w:rPr>
      <w:sz w:val="18"/>
      <w:szCs w:val="18"/>
    </w:rPr>
  </w:style>
  <w:style w:type="paragraph" w:styleId="a8">
    <w:name w:val="header"/>
    <w:basedOn w:val="a"/>
    <w:link w:val="Char3"/>
    <w:uiPriority w:val="99"/>
    <w:semiHidden/>
    <w:unhideWhenUsed/>
    <w:qFormat/>
    <w:rsid w:val="003A548C"/>
    <w:pPr>
      <w:pBdr>
        <w:bottom w:val="single" w:sz="6" w:space="1" w:color="auto"/>
      </w:pBdr>
      <w:tabs>
        <w:tab w:val="center" w:pos="4153"/>
        <w:tab w:val="right" w:pos="8306"/>
      </w:tabs>
      <w:snapToGrid w:val="0"/>
      <w:spacing w:line="240" w:lineRule="auto"/>
      <w:jc w:val="center"/>
    </w:pPr>
    <w:rPr>
      <w:sz w:val="18"/>
      <w:szCs w:val="18"/>
    </w:rPr>
  </w:style>
  <w:style w:type="paragraph" w:styleId="a9">
    <w:name w:val="Subtitle"/>
    <w:basedOn w:val="a"/>
    <w:next w:val="a"/>
    <w:link w:val="Char4"/>
    <w:uiPriority w:val="11"/>
    <w:qFormat/>
    <w:rsid w:val="003A548C"/>
    <w:rPr>
      <w:rFonts w:asciiTheme="majorHAnsi" w:eastAsiaTheme="majorEastAsia" w:hAnsiTheme="majorHAnsi" w:cstheme="majorBidi"/>
      <w:i/>
      <w:iCs/>
      <w:color w:val="4F81BD" w:themeColor="accent1"/>
      <w:spacing w:val="15"/>
      <w:sz w:val="24"/>
      <w:szCs w:val="24"/>
    </w:rPr>
  </w:style>
  <w:style w:type="paragraph" w:styleId="aa">
    <w:name w:val="footnote text"/>
    <w:basedOn w:val="a"/>
    <w:uiPriority w:val="99"/>
    <w:semiHidden/>
    <w:unhideWhenUsed/>
    <w:qFormat/>
    <w:rsid w:val="003A548C"/>
    <w:pPr>
      <w:snapToGrid w:val="0"/>
    </w:pPr>
    <w:rPr>
      <w:sz w:val="18"/>
    </w:rPr>
  </w:style>
  <w:style w:type="paragraph" w:styleId="ab">
    <w:name w:val="Normal (Web)"/>
    <w:basedOn w:val="a"/>
    <w:uiPriority w:val="99"/>
    <w:qFormat/>
    <w:rsid w:val="003A548C"/>
    <w:pPr>
      <w:spacing w:before="100" w:beforeAutospacing="1" w:after="100" w:afterAutospacing="1" w:line="240" w:lineRule="auto"/>
    </w:pPr>
    <w:rPr>
      <w:rFonts w:ascii="宋体" w:hAnsi="宋体" w:cs="宋体"/>
    </w:rPr>
  </w:style>
  <w:style w:type="paragraph" w:styleId="ac">
    <w:name w:val="Title"/>
    <w:basedOn w:val="a"/>
    <w:next w:val="a"/>
    <w:link w:val="Char5"/>
    <w:uiPriority w:val="10"/>
    <w:qFormat/>
    <w:rsid w:val="003A54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styleId="ad">
    <w:name w:val="Strong"/>
    <w:basedOn w:val="a0"/>
    <w:uiPriority w:val="22"/>
    <w:qFormat/>
    <w:rsid w:val="003A548C"/>
    <w:rPr>
      <w:b/>
      <w:bCs/>
    </w:rPr>
  </w:style>
  <w:style w:type="character" w:styleId="ae">
    <w:name w:val="Emphasis"/>
    <w:basedOn w:val="a0"/>
    <w:uiPriority w:val="20"/>
    <w:qFormat/>
    <w:rsid w:val="003A548C"/>
    <w:rPr>
      <w:i/>
      <w:iCs/>
    </w:rPr>
  </w:style>
  <w:style w:type="character" w:styleId="af">
    <w:name w:val="annotation reference"/>
    <w:basedOn w:val="a0"/>
    <w:uiPriority w:val="99"/>
    <w:semiHidden/>
    <w:unhideWhenUsed/>
    <w:qFormat/>
    <w:rsid w:val="003A548C"/>
    <w:rPr>
      <w:sz w:val="21"/>
      <w:szCs w:val="21"/>
    </w:rPr>
  </w:style>
  <w:style w:type="character" w:styleId="af0">
    <w:name w:val="footnote reference"/>
    <w:basedOn w:val="a0"/>
    <w:uiPriority w:val="99"/>
    <w:semiHidden/>
    <w:unhideWhenUsed/>
    <w:qFormat/>
    <w:rsid w:val="003A548C"/>
    <w:rPr>
      <w:vertAlign w:val="superscript"/>
    </w:rPr>
  </w:style>
  <w:style w:type="table" w:styleId="af1">
    <w:name w:val="Table Grid"/>
    <w:basedOn w:val="a1"/>
    <w:uiPriority w:val="59"/>
    <w:qFormat/>
    <w:rsid w:val="003A54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qFormat/>
    <w:rsid w:val="003A548C"/>
    <w:rPr>
      <w:rFonts w:asciiTheme="majorHAnsi" w:eastAsiaTheme="majorEastAsia" w:hAnsiTheme="majorHAnsi" w:cstheme="majorBidi"/>
      <w:b/>
      <w:bCs/>
      <w:color w:val="365F91" w:themeColor="accent1" w:themeShade="BF"/>
      <w:sz w:val="28"/>
      <w:szCs w:val="28"/>
    </w:rPr>
  </w:style>
  <w:style w:type="character" w:customStyle="1" w:styleId="2Char">
    <w:name w:val="标题 2 Char"/>
    <w:basedOn w:val="a0"/>
    <w:link w:val="2"/>
    <w:uiPriority w:val="9"/>
    <w:semiHidden/>
    <w:qFormat/>
    <w:rsid w:val="003A548C"/>
    <w:rPr>
      <w:rFonts w:asciiTheme="majorHAnsi" w:eastAsiaTheme="majorEastAsia" w:hAnsiTheme="majorHAnsi" w:cstheme="majorBidi"/>
      <w:b/>
      <w:bCs/>
      <w:color w:val="4F81BD" w:themeColor="accent1"/>
      <w:sz w:val="26"/>
      <w:szCs w:val="26"/>
    </w:rPr>
  </w:style>
  <w:style w:type="character" w:customStyle="1" w:styleId="3Char">
    <w:name w:val="标题 3 Char"/>
    <w:basedOn w:val="a0"/>
    <w:link w:val="3"/>
    <w:uiPriority w:val="9"/>
    <w:qFormat/>
    <w:rsid w:val="003A548C"/>
    <w:rPr>
      <w:rFonts w:asciiTheme="majorHAnsi" w:eastAsiaTheme="majorEastAsia" w:hAnsiTheme="majorHAnsi" w:cstheme="majorBidi"/>
      <w:b/>
      <w:bCs/>
      <w:color w:val="4F81BD" w:themeColor="accent1"/>
    </w:rPr>
  </w:style>
  <w:style w:type="character" w:customStyle="1" w:styleId="4Char">
    <w:name w:val="标题 4 Char"/>
    <w:basedOn w:val="a0"/>
    <w:link w:val="4"/>
    <w:uiPriority w:val="9"/>
    <w:qFormat/>
    <w:rsid w:val="003A548C"/>
    <w:rPr>
      <w:rFonts w:asciiTheme="majorHAnsi" w:eastAsiaTheme="majorEastAsia" w:hAnsiTheme="majorHAnsi" w:cstheme="majorBidi"/>
      <w:b/>
      <w:bCs/>
      <w:i/>
      <w:iCs/>
      <w:color w:val="4F81BD" w:themeColor="accent1"/>
    </w:rPr>
  </w:style>
  <w:style w:type="character" w:customStyle="1" w:styleId="5Char">
    <w:name w:val="标题 5 Char"/>
    <w:basedOn w:val="a0"/>
    <w:link w:val="5"/>
    <w:uiPriority w:val="9"/>
    <w:qFormat/>
    <w:rsid w:val="003A548C"/>
    <w:rPr>
      <w:rFonts w:asciiTheme="majorHAnsi" w:eastAsiaTheme="majorEastAsia" w:hAnsiTheme="majorHAnsi" w:cstheme="majorBidi"/>
      <w:color w:val="243F60" w:themeColor="accent1" w:themeShade="7F"/>
    </w:rPr>
  </w:style>
  <w:style w:type="character" w:customStyle="1" w:styleId="6Char">
    <w:name w:val="标题 6 Char"/>
    <w:basedOn w:val="a0"/>
    <w:link w:val="6"/>
    <w:uiPriority w:val="9"/>
    <w:qFormat/>
    <w:rsid w:val="003A548C"/>
    <w:rPr>
      <w:rFonts w:asciiTheme="majorHAnsi" w:eastAsiaTheme="majorEastAsia" w:hAnsiTheme="majorHAnsi" w:cstheme="majorBidi"/>
      <w:i/>
      <w:iCs/>
      <w:color w:val="243F60" w:themeColor="accent1" w:themeShade="7F"/>
    </w:rPr>
  </w:style>
  <w:style w:type="character" w:customStyle="1" w:styleId="7Char">
    <w:name w:val="标题 7 Char"/>
    <w:basedOn w:val="a0"/>
    <w:link w:val="7"/>
    <w:uiPriority w:val="9"/>
    <w:qFormat/>
    <w:rsid w:val="003A548C"/>
    <w:rPr>
      <w:rFonts w:asciiTheme="majorHAnsi" w:eastAsiaTheme="majorEastAsia" w:hAnsiTheme="majorHAnsi" w:cstheme="majorBidi"/>
      <w:i/>
      <w:iCs/>
      <w:color w:val="404040" w:themeColor="text1" w:themeTint="BF"/>
    </w:rPr>
  </w:style>
  <w:style w:type="character" w:customStyle="1" w:styleId="8Char">
    <w:name w:val="标题 8 Char"/>
    <w:basedOn w:val="a0"/>
    <w:link w:val="8"/>
    <w:uiPriority w:val="9"/>
    <w:qFormat/>
    <w:rsid w:val="003A548C"/>
    <w:rPr>
      <w:rFonts w:asciiTheme="majorHAnsi" w:eastAsiaTheme="majorEastAsia" w:hAnsiTheme="majorHAnsi" w:cstheme="majorBidi"/>
      <w:color w:val="4F81BD" w:themeColor="accent1"/>
      <w:sz w:val="20"/>
      <w:szCs w:val="20"/>
    </w:rPr>
  </w:style>
  <w:style w:type="character" w:customStyle="1" w:styleId="9Char">
    <w:name w:val="标题 9 Char"/>
    <w:basedOn w:val="a0"/>
    <w:link w:val="9"/>
    <w:uiPriority w:val="9"/>
    <w:qFormat/>
    <w:rsid w:val="003A548C"/>
    <w:rPr>
      <w:rFonts w:asciiTheme="majorHAnsi" w:eastAsiaTheme="majorEastAsia" w:hAnsiTheme="majorHAnsi" w:cstheme="majorBidi"/>
      <w:i/>
      <w:iCs/>
      <w:color w:val="404040" w:themeColor="text1" w:themeTint="BF"/>
      <w:sz w:val="20"/>
      <w:szCs w:val="20"/>
    </w:rPr>
  </w:style>
  <w:style w:type="character" w:customStyle="1" w:styleId="Char5">
    <w:name w:val="标题 Char"/>
    <w:basedOn w:val="a0"/>
    <w:link w:val="ac"/>
    <w:uiPriority w:val="10"/>
    <w:qFormat/>
    <w:rsid w:val="003A548C"/>
    <w:rPr>
      <w:rFonts w:asciiTheme="majorHAnsi" w:eastAsiaTheme="majorEastAsia" w:hAnsiTheme="majorHAnsi" w:cstheme="majorBidi"/>
      <w:color w:val="17365D" w:themeColor="text2" w:themeShade="BF"/>
      <w:spacing w:val="5"/>
      <w:kern w:val="28"/>
      <w:sz w:val="52"/>
      <w:szCs w:val="52"/>
    </w:rPr>
  </w:style>
  <w:style w:type="character" w:customStyle="1" w:styleId="Char4">
    <w:name w:val="副标题 Char"/>
    <w:basedOn w:val="a0"/>
    <w:link w:val="a9"/>
    <w:uiPriority w:val="11"/>
    <w:qFormat/>
    <w:rsid w:val="003A548C"/>
    <w:rPr>
      <w:rFonts w:asciiTheme="majorHAnsi" w:eastAsiaTheme="majorEastAsia" w:hAnsiTheme="majorHAnsi" w:cstheme="majorBidi"/>
      <w:i/>
      <w:iCs/>
      <w:color w:val="4F81BD" w:themeColor="accent1"/>
      <w:spacing w:val="15"/>
      <w:sz w:val="24"/>
      <w:szCs w:val="24"/>
    </w:rPr>
  </w:style>
  <w:style w:type="paragraph" w:styleId="af2">
    <w:name w:val="No Spacing"/>
    <w:uiPriority w:val="1"/>
    <w:qFormat/>
    <w:rsid w:val="003A548C"/>
    <w:rPr>
      <w:rFonts w:asciiTheme="minorHAnsi" w:eastAsiaTheme="minorEastAsia" w:hAnsiTheme="minorHAnsi" w:cstheme="minorBidi"/>
      <w:sz w:val="22"/>
      <w:szCs w:val="22"/>
      <w:lang w:eastAsia="en-US" w:bidi="en-US"/>
    </w:rPr>
  </w:style>
  <w:style w:type="paragraph" w:styleId="af3">
    <w:name w:val="List Paragraph"/>
    <w:basedOn w:val="a"/>
    <w:uiPriority w:val="34"/>
    <w:qFormat/>
    <w:rsid w:val="003A548C"/>
    <w:pPr>
      <w:ind w:left="720"/>
      <w:contextualSpacing/>
    </w:pPr>
  </w:style>
  <w:style w:type="paragraph" w:styleId="af4">
    <w:name w:val="Quote"/>
    <w:basedOn w:val="a"/>
    <w:next w:val="a"/>
    <w:link w:val="Char6"/>
    <w:uiPriority w:val="29"/>
    <w:qFormat/>
    <w:rsid w:val="003A548C"/>
    <w:rPr>
      <w:i/>
      <w:iCs/>
      <w:color w:val="000000" w:themeColor="text1"/>
    </w:rPr>
  </w:style>
  <w:style w:type="character" w:customStyle="1" w:styleId="Char6">
    <w:name w:val="引用 Char"/>
    <w:basedOn w:val="a0"/>
    <w:link w:val="af4"/>
    <w:uiPriority w:val="29"/>
    <w:qFormat/>
    <w:rsid w:val="003A548C"/>
    <w:rPr>
      <w:i/>
      <w:iCs/>
      <w:color w:val="000000" w:themeColor="text1"/>
    </w:rPr>
  </w:style>
  <w:style w:type="paragraph" w:styleId="af5">
    <w:name w:val="Intense Quote"/>
    <w:basedOn w:val="a"/>
    <w:next w:val="a"/>
    <w:link w:val="Char7"/>
    <w:uiPriority w:val="30"/>
    <w:qFormat/>
    <w:rsid w:val="003A548C"/>
    <w:pPr>
      <w:pBdr>
        <w:bottom w:val="single" w:sz="4" w:space="4" w:color="4F81BD" w:themeColor="accent1"/>
      </w:pBdr>
      <w:spacing w:before="200" w:after="280"/>
      <w:ind w:left="936" w:right="936"/>
    </w:pPr>
    <w:rPr>
      <w:b/>
      <w:bCs/>
      <w:i/>
      <w:iCs/>
      <w:color w:val="4F81BD" w:themeColor="accent1"/>
    </w:rPr>
  </w:style>
  <w:style w:type="character" w:customStyle="1" w:styleId="Char7">
    <w:name w:val="明显引用 Char"/>
    <w:basedOn w:val="a0"/>
    <w:link w:val="af5"/>
    <w:uiPriority w:val="30"/>
    <w:qFormat/>
    <w:rsid w:val="003A548C"/>
    <w:rPr>
      <w:b/>
      <w:bCs/>
      <w:i/>
      <w:iCs/>
      <w:color w:val="4F81BD" w:themeColor="accent1"/>
    </w:rPr>
  </w:style>
  <w:style w:type="character" w:customStyle="1" w:styleId="10">
    <w:name w:val="不明显强调1"/>
    <w:basedOn w:val="a0"/>
    <w:uiPriority w:val="19"/>
    <w:qFormat/>
    <w:rsid w:val="003A548C"/>
    <w:rPr>
      <w:i/>
      <w:iCs/>
      <w:color w:val="808080" w:themeColor="text1" w:themeTint="7F"/>
    </w:rPr>
  </w:style>
  <w:style w:type="character" w:customStyle="1" w:styleId="11">
    <w:name w:val="明显强调1"/>
    <w:basedOn w:val="a0"/>
    <w:uiPriority w:val="21"/>
    <w:qFormat/>
    <w:rsid w:val="003A548C"/>
    <w:rPr>
      <w:b/>
      <w:bCs/>
      <w:i/>
      <w:iCs/>
      <w:color w:val="4F81BD" w:themeColor="accent1"/>
    </w:rPr>
  </w:style>
  <w:style w:type="character" w:customStyle="1" w:styleId="12">
    <w:name w:val="不明显参考1"/>
    <w:basedOn w:val="a0"/>
    <w:uiPriority w:val="31"/>
    <w:qFormat/>
    <w:rsid w:val="003A548C"/>
    <w:rPr>
      <w:smallCaps/>
      <w:color w:val="C0504D" w:themeColor="accent2"/>
      <w:u w:val="single"/>
    </w:rPr>
  </w:style>
  <w:style w:type="character" w:customStyle="1" w:styleId="13">
    <w:name w:val="明显参考1"/>
    <w:basedOn w:val="a0"/>
    <w:uiPriority w:val="32"/>
    <w:qFormat/>
    <w:rsid w:val="003A548C"/>
    <w:rPr>
      <w:b/>
      <w:bCs/>
      <w:smallCaps/>
      <w:color w:val="C0504D" w:themeColor="accent2"/>
      <w:spacing w:val="5"/>
      <w:u w:val="single"/>
    </w:rPr>
  </w:style>
  <w:style w:type="character" w:customStyle="1" w:styleId="14">
    <w:name w:val="书籍标题1"/>
    <w:basedOn w:val="a0"/>
    <w:uiPriority w:val="33"/>
    <w:qFormat/>
    <w:rsid w:val="003A548C"/>
    <w:rPr>
      <w:b/>
      <w:bCs/>
      <w:smallCaps/>
      <w:spacing w:val="5"/>
    </w:rPr>
  </w:style>
  <w:style w:type="paragraph" w:customStyle="1" w:styleId="TOC1">
    <w:name w:val="TOC 标题1"/>
    <w:basedOn w:val="1"/>
    <w:next w:val="a"/>
    <w:uiPriority w:val="39"/>
    <w:semiHidden/>
    <w:unhideWhenUsed/>
    <w:qFormat/>
    <w:rsid w:val="003A548C"/>
    <w:pPr>
      <w:outlineLvl w:val="9"/>
    </w:pPr>
  </w:style>
  <w:style w:type="character" w:customStyle="1" w:styleId="Char3">
    <w:name w:val="页眉 Char"/>
    <w:basedOn w:val="a0"/>
    <w:link w:val="a8"/>
    <w:uiPriority w:val="99"/>
    <w:semiHidden/>
    <w:qFormat/>
    <w:rsid w:val="003A548C"/>
    <w:rPr>
      <w:sz w:val="18"/>
      <w:szCs w:val="18"/>
    </w:rPr>
  </w:style>
  <w:style w:type="character" w:customStyle="1" w:styleId="Char2">
    <w:name w:val="页脚 Char"/>
    <w:basedOn w:val="a0"/>
    <w:link w:val="a7"/>
    <w:uiPriority w:val="99"/>
    <w:qFormat/>
    <w:rsid w:val="003A548C"/>
    <w:rPr>
      <w:sz w:val="18"/>
      <w:szCs w:val="18"/>
    </w:rPr>
  </w:style>
  <w:style w:type="paragraph" w:customStyle="1" w:styleId="p0">
    <w:name w:val="p0"/>
    <w:basedOn w:val="a"/>
    <w:qFormat/>
    <w:rsid w:val="003A548C"/>
    <w:pPr>
      <w:spacing w:after="0" w:line="240" w:lineRule="auto"/>
    </w:pPr>
    <w:rPr>
      <w:rFonts w:ascii="ˎ̥" w:eastAsia="宋体" w:hAnsi="ˎ̥" w:cs="宋体"/>
      <w:sz w:val="24"/>
      <w:szCs w:val="24"/>
      <w:lang w:eastAsia="zh-CN" w:bidi="ar-SA"/>
    </w:rPr>
  </w:style>
  <w:style w:type="character" w:customStyle="1" w:styleId="Char0">
    <w:name w:val="批注文字 Char"/>
    <w:basedOn w:val="a0"/>
    <w:link w:val="a4"/>
    <w:uiPriority w:val="99"/>
    <w:semiHidden/>
    <w:qFormat/>
    <w:rsid w:val="003A548C"/>
  </w:style>
  <w:style w:type="character" w:customStyle="1" w:styleId="Char">
    <w:name w:val="批注主题 Char"/>
    <w:basedOn w:val="Char0"/>
    <w:link w:val="a3"/>
    <w:uiPriority w:val="99"/>
    <w:semiHidden/>
    <w:qFormat/>
    <w:rsid w:val="003A548C"/>
    <w:rPr>
      <w:b/>
      <w:bCs/>
    </w:rPr>
  </w:style>
  <w:style w:type="character" w:customStyle="1" w:styleId="Char1">
    <w:name w:val="批注框文本 Char"/>
    <w:basedOn w:val="a0"/>
    <w:link w:val="a6"/>
    <w:uiPriority w:val="99"/>
    <w:semiHidden/>
    <w:qFormat/>
    <w:rsid w:val="003A548C"/>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947</Words>
  <Characters>5403</Characters>
  <Application>Microsoft Office Word</Application>
  <DocSecurity>0</DocSecurity>
  <Lines>45</Lines>
  <Paragraphs>12</Paragraphs>
  <ScaleCrop>false</ScaleCrop>
  <Company/>
  <LinksUpToDate>false</LinksUpToDate>
  <CharactersWithSpaces>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yhf</dc:creator>
  <cp:lastModifiedBy>YYM</cp:lastModifiedBy>
  <cp:revision>2</cp:revision>
  <cp:lastPrinted>2019-06-26T08:58:00Z</cp:lastPrinted>
  <dcterms:created xsi:type="dcterms:W3CDTF">2020-01-08T00:33:00Z</dcterms:created>
  <dcterms:modified xsi:type="dcterms:W3CDTF">2020-01-08T00:33:00Z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2052-10.1.0.7398</vt:lpwstr>
  </property>
</Properties>
</file>